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EBDBC" w14:textId="0F74B808" w:rsidR="00DC2EC7" w:rsidRPr="00AD393D" w:rsidRDefault="003919D8">
      <w:pPr>
        <w:pStyle w:val="Ttulo1"/>
        <w:spacing w:before="0" w:line="240" w:lineRule="auto"/>
        <w:jc w:val="both"/>
        <w:rPr>
          <w:rFonts w:ascii="Arial" w:eastAsia="Arial" w:hAnsi="Arial" w:cs="Arial"/>
          <w:color w:val="000000"/>
          <w:sz w:val="24"/>
          <w:szCs w:val="24"/>
        </w:rPr>
      </w:pPr>
      <w:r w:rsidRPr="00AD393D">
        <w:rPr>
          <w:rFonts w:ascii="Arial" w:eastAsia="Arial" w:hAnsi="Arial" w:cs="Arial"/>
          <w:color w:val="000000"/>
          <w:sz w:val="24"/>
          <w:szCs w:val="24"/>
        </w:rPr>
        <w:t xml:space="preserve">Bogotá D.C. </w:t>
      </w:r>
      <w:r w:rsidR="009765DB" w:rsidRPr="00AD393D">
        <w:rPr>
          <w:rFonts w:ascii="Arial" w:eastAsia="Arial" w:hAnsi="Arial" w:cs="Arial"/>
          <w:color w:val="000000"/>
          <w:sz w:val="24"/>
          <w:szCs w:val="24"/>
        </w:rPr>
        <w:t>ju</w:t>
      </w:r>
      <w:r w:rsidR="00771F50">
        <w:rPr>
          <w:rFonts w:ascii="Arial" w:eastAsia="Arial" w:hAnsi="Arial" w:cs="Arial"/>
          <w:color w:val="000000"/>
          <w:sz w:val="24"/>
          <w:szCs w:val="24"/>
        </w:rPr>
        <w:t>l</w:t>
      </w:r>
      <w:r w:rsidR="009765DB" w:rsidRPr="00AD393D">
        <w:rPr>
          <w:rFonts w:ascii="Arial" w:eastAsia="Arial" w:hAnsi="Arial" w:cs="Arial"/>
          <w:color w:val="000000"/>
          <w:sz w:val="24"/>
          <w:szCs w:val="24"/>
        </w:rPr>
        <w:t>io de 2024</w:t>
      </w:r>
    </w:p>
    <w:p w14:paraId="6971B31B" w14:textId="77777777" w:rsidR="00DC2EC7" w:rsidRPr="00AD393D" w:rsidRDefault="00DC2EC7">
      <w:pPr>
        <w:spacing w:after="0" w:line="240" w:lineRule="auto"/>
        <w:jc w:val="both"/>
        <w:rPr>
          <w:rFonts w:ascii="Arial" w:eastAsia="Arial" w:hAnsi="Arial" w:cs="Arial"/>
          <w:sz w:val="24"/>
          <w:szCs w:val="24"/>
        </w:rPr>
      </w:pPr>
    </w:p>
    <w:p w14:paraId="49F0FC88" w14:textId="5232523D" w:rsidR="00DC2EC7" w:rsidRPr="00AD393D" w:rsidRDefault="00DC2EC7">
      <w:pPr>
        <w:spacing w:after="0" w:line="240" w:lineRule="auto"/>
        <w:jc w:val="both"/>
        <w:rPr>
          <w:rFonts w:ascii="Arial" w:eastAsia="Arial" w:hAnsi="Arial" w:cs="Arial"/>
          <w:sz w:val="24"/>
          <w:szCs w:val="24"/>
        </w:rPr>
      </w:pPr>
    </w:p>
    <w:p w14:paraId="3D14D28F" w14:textId="77777777" w:rsidR="00DC2EC7" w:rsidRPr="00AD393D" w:rsidRDefault="003919D8">
      <w:pPr>
        <w:spacing w:after="0" w:line="240" w:lineRule="auto"/>
        <w:jc w:val="both"/>
        <w:rPr>
          <w:rFonts w:ascii="Arial" w:eastAsia="Arial" w:hAnsi="Arial" w:cs="Arial"/>
          <w:sz w:val="24"/>
          <w:szCs w:val="24"/>
        </w:rPr>
      </w:pPr>
      <w:r w:rsidRPr="00AD393D">
        <w:rPr>
          <w:rFonts w:ascii="Arial" w:eastAsia="Arial" w:hAnsi="Arial" w:cs="Arial"/>
          <w:sz w:val="24"/>
          <w:szCs w:val="24"/>
        </w:rPr>
        <w:t xml:space="preserve">Honorable Representante </w:t>
      </w:r>
    </w:p>
    <w:p w14:paraId="62DE9A07" w14:textId="41DE3A95" w:rsidR="00DC2EC7" w:rsidRPr="00AD393D" w:rsidRDefault="00633207">
      <w:pPr>
        <w:spacing w:after="0" w:line="240" w:lineRule="auto"/>
        <w:jc w:val="both"/>
        <w:rPr>
          <w:rFonts w:ascii="Arial" w:eastAsia="Arial" w:hAnsi="Arial" w:cs="Arial"/>
          <w:b/>
          <w:sz w:val="24"/>
          <w:szCs w:val="24"/>
        </w:rPr>
      </w:pPr>
      <w:r>
        <w:rPr>
          <w:rFonts w:ascii="Arial" w:eastAsia="Arial" w:hAnsi="Arial" w:cs="Arial"/>
          <w:b/>
          <w:sz w:val="24"/>
          <w:szCs w:val="24"/>
        </w:rPr>
        <w:t>JUAN SEBASTIÁN GÓMEZ GONZÁLEZ</w:t>
      </w:r>
    </w:p>
    <w:p w14:paraId="10C7F5D5" w14:textId="5D4BA22E" w:rsidR="00DC2EC7" w:rsidRPr="00AD393D" w:rsidRDefault="00633207">
      <w:pPr>
        <w:spacing w:after="0" w:line="240" w:lineRule="auto"/>
        <w:jc w:val="both"/>
        <w:rPr>
          <w:rFonts w:ascii="Arial" w:eastAsia="Arial" w:hAnsi="Arial" w:cs="Arial"/>
          <w:b/>
          <w:bCs/>
          <w:sz w:val="24"/>
          <w:szCs w:val="24"/>
        </w:rPr>
      </w:pPr>
      <w:r>
        <w:rPr>
          <w:rFonts w:ascii="Arial" w:eastAsia="Arial" w:hAnsi="Arial" w:cs="Arial"/>
          <w:b/>
          <w:bCs/>
          <w:sz w:val="24"/>
          <w:szCs w:val="24"/>
        </w:rPr>
        <w:t>Vicep</w:t>
      </w:r>
      <w:r w:rsidR="003919D8" w:rsidRPr="00AD393D">
        <w:rPr>
          <w:rFonts w:ascii="Arial" w:eastAsia="Arial" w:hAnsi="Arial" w:cs="Arial"/>
          <w:b/>
          <w:bCs/>
          <w:sz w:val="24"/>
          <w:szCs w:val="24"/>
        </w:rPr>
        <w:t xml:space="preserve">residente </w:t>
      </w:r>
    </w:p>
    <w:p w14:paraId="622EA672" w14:textId="77777777" w:rsidR="00DC2EC7" w:rsidRPr="00AD393D" w:rsidRDefault="003919D8">
      <w:pPr>
        <w:spacing w:after="0" w:line="240" w:lineRule="auto"/>
        <w:jc w:val="both"/>
        <w:rPr>
          <w:rFonts w:ascii="Arial" w:eastAsia="Arial" w:hAnsi="Arial" w:cs="Arial"/>
          <w:sz w:val="24"/>
          <w:szCs w:val="24"/>
        </w:rPr>
      </w:pPr>
      <w:r w:rsidRPr="00AD393D">
        <w:rPr>
          <w:rFonts w:ascii="Arial" w:eastAsia="Arial" w:hAnsi="Arial" w:cs="Arial"/>
          <w:sz w:val="24"/>
          <w:szCs w:val="24"/>
        </w:rPr>
        <w:t>Comisión Primera Constitucional Permanente</w:t>
      </w:r>
    </w:p>
    <w:p w14:paraId="32B45ADA" w14:textId="77777777" w:rsidR="00DC2EC7" w:rsidRPr="00AD393D" w:rsidRDefault="003919D8">
      <w:pPr>
        <w:spacing w:after="0" w:line="240" w:lineRule="auto"/>
        <w:jc w:val="both"/>
        <w:rPr>
          <w:rFonts w:ascii="Arial" w:eastAsia="Arial" w:hAnsi="Arial" w:cs="Arial"/>
          <w:sz w:val="24"/>
          <w:szCs w:val="24"/>
        </w:rPr>
      </w:pPr>
      <w:r w:rsidRPr="00AD393D">
        <w:rPr>
          <w:rFonts w:ascii="Arial" w:eastAsia="Arial" w:hAnsi="Arial" w:cs="Arial"/>
          <w:sz w:val="24"/>
          <w:szCs w:val="24"/>
        </w:rPr>
        <w:t>Cámara de Representantes</w:t>
      </w:r>
    </w:p>
    <w:p w14:paraId="4C0E2533" w14:textId="77777777" w:rsidR="00DC2EC7" w:rsidRPr="00AD393D" w:rsidRDefault="00DC2EC7">
      <w:pPr>
        <w:spacing w:after="0" w:line="240" w:lineRule="auto"/>
        <w:jc w:val="both"/>
        <w:rPr>
          <w:rFonts w:ascii="Arial" w:eastAsia="Arial" w:hAnsi="Arial" w:cs="Arial"/>
          <w:sz w:val="24"/>
          <w:szCs w:val="24"/>
        </w:rPr>
      </w:pPr>
    </w:p>
    <w:p w14:paraId="55B604B8" w14:textId="77777777" w:rsidR="00DC2EC7" w:rsidRPr="00AD393D" w:rsidRDefault="00DC2EC7">
      <w:pPr>
        <w:spacing w:after="0" w:line="240" w:lineRule="auto"/>
        <w:jc w:val="both"/>
        <w:rPr>
          <w:rFonts w:ascii="Arial" w:eastAsia="Arial" w:hAnsi="Arial" w:cs="Arial"/>
          <w:sz w:val="24"/>
          <w:szCs w:val="24"/>
        </w:rPr>
      </w:pPr>
    </w:p>
    <w:p w14:paraId="24EBC685" w14:textId="355432AE" w:rsidR="00DC2EC7" w:rsidRPr="00AD393D" w:rsidRDefault="003919D8" w:rsidP="009765DB">
      <w:pPr>
        <w:spacing w:after="0" w:line="240" w:lineRule="auto"/>
        <w:ind w:left="1440"/>
        <w:jc w:val="both"/>
        <w:rPr>
          <w:rFonts w:ascii="Arial" w:eastAsia="Arial" w:hAnsi="Arial" w:cs="Arial"/>
          <w:sz w:val="24"/>
          <w:szCs w:val="24"/>
        </w:rPr>
      </w:pPr>
      <w:r w:rsidRPr="00AD393D">
        <w:rPr>
          <w:rFonts w:ascii="Arial" w:eastAsia="Arial" w:hAnsi="Arial" w:cs="Arial"/>
          <w:b/>
          <w:sz w:val="24"/>
          <w:szCs w:val="24"/>
        </w:rPr>
        <w:t>Referencia</w:t>
      </w:r>
      <w:r w:rsidRPr="00AD393D">
        <w:rPr>
          <w:rFonts w:ascii="Arial" w:eastAsia="Arial" w:hAnsi="Arial" w:cs="Arial"/>
          <w:sz w:val="24"/>
          <w:szCs w:val="24"/>
        </w:rPr>
        <w:t xml:space="preserve">: Informe Subcomisión </w:t>
      </w:r>
      <w:r w:rsidR="009765DB" w:rsidRPr="00AD393D">
        <w:rPr>
          <w:rFonts w:ascii="Arial" w:eastAsia="Arial" w:hAnsi="Arial" w:cs="Arial"/>
          <w:sz w:val="24"/>
          <w:szCs w:val="24"/>
        </w:rPr>
        <w:t xml:space="preserve">– Respuesta a la rendición de cuentas anual del Ministerio del Interior y el Ministerio de Justicia y del Derecho </w:t>
      </w:r>
    </w:p>
    <w:p w14:paraId="042BA23A" w14:textId="1157E4A9" w:rsidR="00DC2EC7" w:rsidRPr="00AD393D" w:rsidRDefault="00DC2EC7">
      <w:pPr>
        <w:spacing w:after="0" w:line="240" w:lineRule="auto"/>
        <w:jc w:val="both"/>
        <w:rPr>
          <w:rFonts w:ascii="Arial" w:eastAsia="Arial" w:hAnsi="Arial" w:cs="Arial"/>
          <w:sz w:val="24"/>
          <w:szCs w:val="24"/>
        </w:rPr>
      </w:pPr>
    </w:p>
    <w:p w14:paraId="18FB509B" w14:textId="5673E9D5" w:rsidR="00DC2EC7" w:rsidRPr="00AD393D" w:rsidRDefault="0769B0F9">
      <w:pPr>
        <w:spacing w:after="0" w:line="240" w:lineRule="auto"/>
        <w:jc w:val="both"/>
        <w:rPr>
          <w:rFonts w:ascii="Arial" w:eastAsia="Arial" w:hAnsi="Arial" w:cs="Arial"/>
          <w:sz w:val="24"/>
          <w:szCs w:val="24"/>
        </w:rPr>
      </w:pPr>
      <w:r w:rsidRPr="00AD393D">
        <w:rPr>
          <w:rFonts w:ascii="Arial" w:eastAsia="Arial" w:hAnsi="Arial" w:cs="Arial"/>
          <w:sz w:val="24"/>
          <w:szCs w:val="24"/>
        </w:rPr>
        <w:t>Respetado presidente,</w:t>
      </w:r>
    </w:p>
    <w:p w14:paraId="7C50135C" w14:textId="77777777" w:rsidR="00DC2EC7" w:rsidRPr="00AD393D" w:rsidRDefault="00DC2EC7">
      <w:pPr>
        <w:spacing w:after="0" w:line="240" w:lineRule="auto"/>
        <w:jc w:val="both"/>
        <w:rPr>
          <w:rFonts w:ascii="Arial" w:eastAsia="Arial" w:hAnsi="Arial" w:cs="Arial"/>
          <w:sz w:val="24"/>
          <w:szCs w:val="24"/>
        </w:rPr>
      </w:pPr>
    </w:p>
    <w:p w14:paraId="13DD7CDA" w14:textId="2AD7CE0F" w:rsidR="00DC2EC7" w:rsidRPr="00AD393D" w:rsidRDefault="0769B0F9">
      <w:pPr>
        <w:spacing w:after="0" w:line="240" w:lineRule="auto"/>
        <w:jc w:val="both"/>
        <w:rPr>
          <w:rFonts w:ascii="Arial" w:eastAsia="Arial" w:hAnsi="Arial" w:cs="Arial"/>
          <w:sz w:val="24"/>
          <w:szCs w:val="24"/>
        </w:rPr>
      </w:pPr>
      <w:r w:rsidRPr="00AD393D">
        <w:rPr>
          <w:rFonts w:ascii="Arial" w:eastAsia="Arial" w:hAnsi="Arial" w:cs="Arial"/>
          <w:sz w:val="24"/>
          <w:szCs w:val="24"/>
        </w:rPr>
        <w:t xml:space="preserve">En atención a la designación realizada por la honorable mesa directiva de la Comisión Primera el 23 de mayo de 2024, nos permitimos rendir informe y respuesta de acuerdo con lo dispuesto en el artículo 57 de la Ley Estatutaria 1757 de 2015 </w:t>
      </w:r>
      <w:r w:rsidRPr="00AD393D">
        <w:rPr>
          <w:rFonts w:ascii="Arial" w:eastAsia="Arial" w:hAnsi="Arial" w:cs="Arial"/>
          <w:i/>
          <w:iCs/>
          <w:sz w:val="24"/>
          <w:szCs w:val="24"/>
        </w:rPr>
        <w:t xml:space="preserve">“Por la cual se dictan disposiciones en materia de promoción y protección del derecho a la participación democrática”. </w:t>
      </w:r>
      <w:r w:rsidRPr="00AD393D">
        <w:rPr>
          <w:rFonts w:ascii="Arial" w:eastAsia="Arial" w:hAnsi="Arial" w:cs="Arial"/>
          <w:sz w:val="24"/>
          <w:szCs w:val="24"/>
        </w:rPr>
        <w:t xml:space="preserve">En este informe, presentamos observaciones y recomendaciones sobre los documentos: </w:t>
      </w:r>
    </w:p>
    <w:p w14:paraId="6EC8F276" w14:textId="606DCFBB" w:rsidR="689DC7A4" w:rsidRPr="00AD393D" w:rsidRDefault="689DC7A4" w:rsidP="689DC7A4">
      <w:pPr>
        <w:spacing w:after="0" w:line="240" w:lineRule="auto"/>
        <w:jc w:val="both"/>
        <w:rPr>
          <w:rFonts w:ascii="Arial" w:eastAsia="Arial" w:hAnsi="Arial" w:cs="Arial"/>
          <w:sz w:val="24"/>
          <w:szCs w:val="24"/>
        </w:rPr>
      </w:pPr>
    </w:p>
    <w:p w14:paraId="1DE44C21" w14:textId="017E34AF" w:rsidR="00960193" w:rsidRPr="00AD393D" w:rsidRDefault="00960193" w:rsidP="00960193">
      <w:pPr>
        <w:pStyle w:val="Prrafodelista"/>
        <w:numPr>
          <w:ilvl w:val="0"/>
          <w:numId w:val="30"/>
        </w:numPr>
        <w:jc w:val="both"/>
        <w:rPr>
          <w:rFonts w:ascii="Arial" w:eastAsia="Arial" w:hAnsi="Arial" w:cs="Arial"/>
          <w:lang w:val="es-CO"/>
        </w:rPr>
      </w:pPr>
      <w:r w:rsidRPr="00AD393D">
        <w:rPr>
          <w:rFonts w:ascii="Arial" w:eastAsia="Arial" w:hAnsi="Arial" w:cs="Arial"/>
          <w:lang w:val="es-CO"/>
        </w:rPr>
        <w:t>Informe de Rendición de Cuentas, Ministerio de Justicia y del Derecho 2023</w:t>
      </w:r>
    </w:p>
    <w:p w14:paraId="61B7D5C5" w14:textId="7E47BC29" w:rsidR="00960193" w:rsidRPr="00AD393D" w:rsidRDefault="00960193" w:rsidP="00960193">
      <w:pPr>
        <w:pStyle w:val="Prrafodelista"/>
        <w:numPr>
          <w:ilvl w:val="0"/>
          <w:numId w:val="30"/>
        </w:numPr>
        <w:jc w:val="both"/>
        <w:rPr>
          <w:rFonts w:ascii="Arial" w:eastAsia="Arial" w:hAnsi="Arial" w:cs="Arial"/>
          <w:lang w:val="es-CO"/>
        </w:rPr>
      </w:pPr>
      <w:r w:rsidRPr="00AD393D">
        <w:rPr>
          <w:rFonts w:ascii="Arial" w:eastAsia="Arial" w:hAnsi="Arial" w:cs="Arial"/>
          <w:lang w:val="es-CO"/>
        </w:rPr>
        <w:t>Informe de Gestión, Ministerio del Interior 2023</w:t>
      </w:r>
    </w:p>
    <w:p w14:paraId="330B698C" w14:textId="77777777" w:rsidR="00DC2EC7" w:rsidRPr="00AD393D" w:rsidRDefault="00DC2EC7">
      <w:pPr>
        <w:spacing w:after="0" w:line="240" w:lineRule="auto"/>
        <w:jc w:val="both"/>
        <w:rPr>
          <w:rFonts w:ascii="Arial" w:eastAsia="Arial" w:hAnsi="Arial" w:cs="Arial"/>
          <w:sz w:val="24"/>
          <w:szCs w:val="24"/>
        </w:rPr>
      </w:pPr>
    </w:p>
    <w:p w14:paraId="2F53EE66" w14:textId="12A709F6" w:rsidR="00A11476" w:rsidRPr="00AD393D" w:rsidRDefault="00A11476">
      <w:pPr>
        <w:spacing w:after="0" w:line="240" w:lineRule="auto"/>
        <w:jc w:val="both"/>
        <w:rPr>
          <w:rFonts w:ascii="Arial" w:eastAsia="Arial" w:hAnsi="Arial" w:cs="Arial"/>
          <w:sz w:val="24"/>
          <w:szCs w:val="24"/>
        </w:rPr>
      </w:pPr>
      <w:r w:rsidRPr="00AD393D">
        <w:rPr>
          <w:rFonts w:ascii="Arial" w:eastAsia="Arial" w:hAnsi="Arial" w:cs="Arial"/>
          <w:sz w:val="24"/>
          <w:szCs w:val="24"/>
        </w:rPr>
        <w:t>En estos términos, como subcomisión damos cumplimiento a la designación realizada</w:t>
      </w:r>
      <w:r w:rsidR="005D3E67" w:rsidRPr="00AD393D">
        <w:rPr>
          <w:rFonts w:ascii="Arial" w:eastAsia="Arial" w:hAnsi="Arial" w:cs="Arial"/>
          <w:sz w:val="24"/>
          <w:szCs w:val="24"/>
        </w:rPr>
        <w:t>.</w:t>
      </w:r>
    </w:p>
    <w:p w14:paraId="2D35D133" w14:textId="5177B6E4" w:rsidR="005D3E67" w:rsidRPr="00AD393D" w:rsidRDefault="005D3E67">
      <w:pPr>
        <w:spacing w:after="0" w:line="240" w:lineRule="auto"/>
        <w:jc w:val="both"/>
        <w:rPr>
          <w:rFonts w:ascii="Arial" w:eastAsia="Arial" w:hAnsi="Arial" w:cs="Arial"/>
          <w:sz w:val="24"/>
          <w:szCs w:val="24"/>
        </w:rPr>
      </w:pPr>
    </w:p>
    <w:p w14:paraId="78B02B0E" w14:textId="73291BE3" w:rsidR="005D3E67" w:rsidRPr="00AD393D" w:rsidRDefault="005D3E67">
      <w:pPr>
        <w:spacing w:after="0" w:line="240" w:lineRule="auto"/>
        <w:jc w:val="both"/>
        <w:rPr>
          <w:rFonts w:ascii="Arial" w:eastAsia="Arial" w:hAnsi="Arial" w:cs="Arial"/>
          <w:sz w:val="24"/>
          <w:szCs w:val="24"/>
        </w:rPr>
      </w:pPr>
      <w:r w:rsidRPr="00AD393D">
        <w:rPr>
          <w:rFonts w:ascii="Arial" w:eastAsia="Arial" w:hAnsi="Arial" w:cs="Arial"/>
          <w:sz w:val="24"/>
          <w:szCs w:val="24"/>
        </w:rPr>
        <w:t>De los honorables congresistas,</w:t>
      </w:r>
    </w:p>
    <w:p w14:paraId="661AD3DB" w14:textId="77777777" w:rsidR="00C43CAE" w:rsidRPr="00AD393D" w:rsidRDefault="00C43CAE">
      <w:pPr>
        <w:spacing w:after="0" w:line="240" w:lineRule="auto"/>
        <w:jc w:val="both"/>
        <w:rPr>
          <w:rFonts w:ascii="Arial" w:eastAsia="Arial" w:hAnsi="Arial" w:cs="Arial"/>
          <w:sz w:val="24"/>
          <w:szCs w:val="24"/>
        </w:rPr>
      </w:pPr>
    </w:p>
    <w:p w14:paraId="78E0025E" w14:textId="77777777" w:rsidR="003F318A" w:rsidRPr="00AD393D" w:rsidRDefault="003F318A">
      <w:pPr>
        <w:spacing w:after="0" w:line="240" w:lineRule="auto"/>
        <w:jc w:val="both"/>
        <w:rPr>
          <w:rFonts w:ascii="Arial" w:eastAsia="Arial" w:hAnsi="Arial" w:cs="Arial"/>
          <w:sz w:val="24"/>
          <w:szCs w:val="24"/>
        </w:rPr>
      </w:pPr>
    </w:p>
    <w:p w14:paraId="003B87DA" w14:textId="04617CB9" w:rsidR="6B92079F" w:rsidRPr="00AD393D" w:rsidRDefault="6B92079F" w:rsidP="6B92079F">
      <w:pPr>
        <w:spacing w:after="0" w:line="240" w:lineRule="auto"/>
        <w:jc w:val="both"/>
        <w:rPr>
          <w:rFonts w:ascii="Arial" w:eastAsia="Arial" w:hAnsi="Arial" w:cs="Arial"/>
          <w:sz w:val="24"/>
          <w:szCs w:val="24"/>
        </w:rPr>
      </w:pPr>
    </w:p>
    <w:p w14:paraId="0E926219" w14:textId="77777777" w:rsidR="004B3313" w:rsidRPr="00AD393D" w:rsidRDefault="004B3313" w:rsidP="003F318A">
      <w:pPr>
        <w:spacing w:after="0" w:line="240" w:lineRule="auto"/>
        <w:rPr>
          <w:rFonts w:ascii="Arial" w:eastAsia="Arial" w:hAnsi="Arial" w:cs="Arial"/>
          <w:sz w:val="24"/>
          <w:szCs w:val="24"/>
        </w:rPr>
      </w:pPr>
    </w:p>
    <w:p w14:paraId="4EFC2589" w14:textId="77777777" w:rsidR="004B3313" w:rsidRPr="00AD393D" w:rsidRDefault="005D3E67" w:rsidP="00927724">
      <w:pPr>
        <w:spacing w:after="0" w:line="240" w:lineRule="auto"/>
        <w:jc w:val="both"/>
        <w:rPr>
          <w:rFonts w:ascii="Arial" w:eastAsia="Arial" w:hAnsi="Arial" w:cs="Arial"/>
          <w:b/>
          <w:sz w:val="24"/>
          <w:szCs w:val="24"/>
        </w:rPr>
      </w:pPr>
      <w:r w:rsidRPr="00AD393D">
        <w:rPr>
          <w:rFonts w:ascii="Arial" w:eastAsia="Arial" w:hAnsi="Arial" w:cs="Arial"/>
          <w:b/>
          <w:sz w:val="24"/>
          <w:szCs w:val="24"/>
        </w:rPr>
        <w:t>JULIO CÉSAR TRIANA QUINTERO</w:t>
      </w:r>
      <w:r w:rsidRPr="00AD393D">
        <w:rPr>
          <w:rFonts w:ascii="Arial" w:eastAsia="Arial" w:hAnsi="Arial" w:cs="Arial"/>
          <w:b/>
          <w:sz w:val="24"/>
          <w:szCs w:val="24"/>
        </w:rPr>
        <w:tab/>
      </w:r>
      <w:r w:rsidRPr="00AD393D">
        <w:rPr>
          <w:rFonts w:ascii="Arial" w:eastAsia="Arial" w:hAnsi="Arial" w:cs="Arial"/>
          <w:b/>
          <w:sz w:val="24"/>
          <w:szCs w:val="24"/>
        </w:rPr>
        <w:tab/>
        <w:t>DUVALIER SÁNCHEZ ARANGO</w:t>
      </w:r>
    </w:p>
    <w:p w14:paraId="6D67AE10" w14:textId="3D8D9725" w:rsidR="004B3313" w:rsidRPr="00AD393D" w:rsidRDefault="005D3E67" w:rsidP="00927724">
      <w:pPr>
        <w:spacing w:after="0" w:line="240" w:lineRule="auto"/>
        <w:jc w:val="both"/>
        <w:rPr>
          <w:rFonts w:ascii="Arial" w:eastAsia="Arial" w:hAnsi="Arial" w:cs="Arial"/>
          <w:sz w:val="24"/>
          <w:szCs w:val="24"/>
        </w:rPr>
      </w:pPr>
      <w:r w:rsidRPr="00AD393D">
        <w:rPr>
          <w:rFonts w:ascii="Arial" w:eastAsia="Arial" w:hAnsi="Arial" w:cs="Arial"/>
          <w:sz w:val="24"/>
          <w:szCs w:val="24"/>
        </w:rPr>
        <w:t xml:space="preserve">Representante a la Cámara </w:t>
      </w:r>
      <w:r w:rsidRPr="00AD393D">
        <w:rPr>
          <w:rFonts w:ascii="Arial" w:eastAsia="Arial" w:hAnsi="Arial" w:cs="Arial"/>
          <w:sz w:val="24"/>
          <w:szCs w:val="24"/>
        </w:rPr>
        <w:tab/>
      </w:r>
      <w:r w:rsidRPr="00AD393D">
        <w:rPr>
          <w:rFonts w:ascii="Arial" w:eastAsia="Arial" w:hAnsi="Arial" w:cs="Arial"/>
          <w:sz w:val="24"/>
          <w:szCs w:val="24"/>
        </w:rPr>
        <w:tab/>
      </w:r>
      <w:r w:rsidR="00DC7124" w:rsidRPr="00AD393D">
        <w:rPr>
          <w:rFonts w:ascii="Arial" w:eastAsia="Arial" w:hAnsi="Arial" w:cs="Arial"/>
          <w:sz w:val="24"/>
          <w:szCs w:val="24"/>
        </w:rPr>
        <w:tab/>
      </w:r>
      <w:r w:rsidRPr="00AD393D">
        <w:rPr>
          <w:rFonts w:ascii="Arial" w:eastAsia="Arial" w:hAnsi="Arial" w:cs="Arial"/>
          <w:sz w:val="24"/>
          <w:szCs w:val="24"/>
        </w:rPr>
        <w:t>Representante a la Cámara</w:t>
      </w:r>
    </w:p>
    <w:p w14:paraId="22F49671" w14:textId="7A99FEA9" w:rsidR="00C43CAE" w:rsidRPr="00AD393D" w:rsidRDefault="004B3313" w:rsidP="00927724">
      <w:pPr>
        <w:spacing w:after="0" w:line="240" w:lineRule="auto"/>
        <w:jc w:val="both"/>
        <w:rPr>
          <w:rFonts w:ascii="Arial" w:eastAsia="Arial" w:hAnsi="Arial" w:cs="Arial"/>
          <w:sz w:val="24"/>
          <w:szCs w:val="24"/>
        </w:rPr>
      </w:pPr>
      <w:r w:rsidRPr="00AD393D">
        <w:rPr>
          <w:rFonts w:ascii="Arial" w:eastAsia="Arial" w:hAnsi="Arial" w:cs="Arial"/>
          <w:sz w:val="24"/>
          <w:szCs w:val="24"/>
        </w:rPr>
        <w:t>Departamento del Huila</w:t>
      </w:r>
      <w:r w:rsidRPr="00AD393D">
        <w:rPr>
          <w:rFonts w:ascii="Arial" w:eastAsia="Arial" w:hAnsi="Arial" w:cs="Arial"/>
          <w:sz w:val="24"/>
          <w:szCs w:val="24"/>
        </w:rPr>
        <w:tab/>
      </w:r>
      <w:r w:rsidR="003F318A" w:rsidRPr="00AD393D">
        <w:rPr>
          <w:rFonts w:ascii="Arial" w:eastAsia="Arial" w:hAnsi="Arial" w:cs="Arial"/>
          <w:sz w:val="24"/>
          <w:szCs w:val="24"/>
        </w:rPr>
        <w:tab/>
      </w:r>
      <w:bookmarkStart w:id="0" w:name="_GoBack"/>
      <w:bookmarkEnd w:id="0"/>
      <w:r w:rsidR="003F318A" w:rsidRPr="00AD393D">
        <w:rPr>
          <w:rFonts w:ascii="Arial" w:eastAsia="Arial" w:hAnsi="Arial" w:cs="Arial"/>
          <w:sz w:val="24"/>
          <w:szCs w:val="24"/>
        </w:rPr>
        <w:tab/>
      </w:r>
      <w:r w:rsidR="003F318A" w:rsidRPr="00AD393D">
        <w:rPr>
          <w:rFonts w:ascii="Arial" w:eastAsia="Arial" w:hAnsi="Arial" w:cs="Arial"/>
          <w:sz w:val="24"/>
          <w:szCs w:val="24"/>
        </w:rPr>
        <w:tab/>
      </w:r>
      <w:r w:rsidRPr="00AD393D">
        <w:rPr>
          <w:rFonts w:ascii="Arial" w:eastAsia="Arial" w:hAnsi="Arial" w:cs="Arial"/>
          <w:sz w:val="24"/>
          <w:szCs w:val="24"/>
        </w:rPr>
        <w:t>Departamento</w:t>
      </w:r>
      <w:r w:rsidR="003F318A" w:rsidRPr="00AD393D">
        <w:rPr>
          <w:rFonts w:ascii="Arial" w:eastAsia="Arial" w:hAnsi="Arial" w:cs="Arial"/>
          <w:sz w:val="24"/>
          <w:szCs w:val="24"/>
        </w:rPr>
        <w:t xml:space="preserve"> </w:t>
      </w:r>
      <w:r w:rsidR="00927724" w:rsidRPr="00AD393D">
        <w:rPr>
          <w:rFonts w:ascii="Arial" w:eastAsia="Arial" w:hAnsi="Arial" w:cs="Arial"/>
          <w:sz w:val="24"/>
          <w:szCs w:val="24"/>
        </w:rPr>
        <w:t xml:space="preserve">de </w:t>
      </w:r>
      <w:r w:rsidR="003F318A" w:rsidRPr="00AD393D">
        <w:rPr>
          <w:rFonts w:ascii="Arial" w:eastAsia="Arial" w:hAnsi="Arial" w:cs="Arial"/>
          <w:sz w:val="24"/>
          <w:szCs w:val="24"/>
        </w:rPr>
        <w:t>Valle del Cauca</w:t>
      </w:r>
    </w:p>
    <w:p w14:paraId="7A332526" w14:textId="77777777" w:rsidR="008D43DB" w:rsidRPr="00AD393D" w:rsidRDefault="008D43DB" w:rsidP="00927724">
      <w:pPr>
        <w:spacing w:after="0" w:line="240" w:lineRule="auto"/>
        <w:jc w:val="both"/>
        <w:rPr>
          <w:rFonts w:ascii="Arial" w:eastAsia="Arial" w:hAnsi="Arial" w:cs="Arial"/>
          <w:sz w:val="24"/>
          <w:szCs w:val="24"/>
        </w:rPr>
      </w:pPr>
    </w:p>
    <w:p w14:paraId="0601FDF5" w14:textId="77777777" w:rsidR="008D43DB" w:rsidRPr="00AD393D" w:rsidRDefault="008D43DB" w:rsidP="00927724">
      <w:pPr>
        <w:spacing w:after="0" w:line="240" w:lineRule="auto"/>
        <w:jc w:val="both"/>
        <w:rPr>
          <w:rFonts w:ascii="Arial" w:eastAsia="Arial" w:hAnsi="Arial" w:cs="Arial"/>
          <w:sz w:val="24"/>
          <w:szCs w:val="24"/>
        </w:rPr>
      </w:pPr>
    </w:p>
    <w:p w14:paraId="0F3AFE2E" w14:textId="64931844" w:rsidR="6B92079F" w:rsidRPr="00AD393D" w:rsidRDefault="6B92079F" w:rsidP="6B92079F">
      <w:pPr>
        <w:spacing w:after="0" w:line="240" w:lineRule="auto"/>
        <w:jc w:val="both"/>
        <w:rPr>
          <w:rFonts w:ascii="Arial" w:eastAsia="Arial" w:hAnsi="Arial" w:cs="Arial"/>
          <w:sz w:val="24"/>
          <w:szCs w:val="24"/>
        </w:rPr>
      </w:pPr>
    </w:p>
    <w:p w14:paraId="3AF086EF" w14:textId="251C36B6" w:rsidR="6B92079F" w:rsidRPr="00AD393D" w:rsidRDefault="6B92079F" w:rsidP="6B92079F">
      <w:pPr>
        <w:spacing w:after="0" w:line="240" w:lineRule="auto"/>
        <w:jc w:val="both"/>
        <w:rPr>
          <w:rFonts w:ascii="Arial" w:eastAsia="Arial" w:hAnsi="Arial" w:cs="Arial"/>
          <w:sz w:val="24"/>
          <w:szCs w:val="24"/>
        </w:rPr>
      </w:pPr>
    </w:p>
    <w:p w14:paraId="30CB2A78" w14:textId="31447F4C" w:rsidR="005D3E67" w:rsidRPr="00AD393D" w:rsidRDefault="005D3E67" w:rsidP="00927724">
      <w:pPr>
        <w:spacing w:after="0" w:line="240" w:lineRule="auto"/>
        <w:jc w:val="both"/>
        <w:rPr>
          <w:rFonts w:ascii="Arial" w:eastAsia="Arial" w:hAnsi="Arial" w:cs="Arial"/>
          <w:b/>
          <w:sz w:val="24"/>
          <w:szCs w:val="24"/>
        </w:rPr>
      </w:pPr>
      <w:r w:rsidRPr="00AD393D">
        <w:rPr>
          <w:rFonts w:ascii="Arial" w:eastAsia="Arial" w:hAnsi="Arial" w:cs="Arial"/>
          <w:b/>
          <w:sz w:val="24"/>
          <w:szCs w:val="24"/>
        </w:rPr>
        <w:t>KARYME ADRANA COTES</w:t>
      </w:r>
      <w:r w:rsidRPr="00AD393D">
        <w:rPr>
          <w:rFonts w:ascii="Arial" w:eastAsia="Arial" w:hAnsi="Arial" w:cs="Arial"/>
          <w:b/>
          <w:sz w:val="24"/>
          <w:szCs w:val="24"/>
        </w:rPr>
        <w:tab/>
      </w:r>
      <w:r w:rsidRPr="00AD393D">
        <w:rPr>
          <w:rFonts w:ascii="Arial" w:eastAsia="Arial" w:hAnsi="Arial" w:cs="Arial"/>
          <w:b/>
          <w:sz w:val="24"/>
          <w:szCs w:val="24"/>
        </w:rPr>
        <w:tab/>
      </w:r>
      <w:r w:rsidRPr="00AD393D">
        <w:rPr>
          <w:rFonts w:ascii="Arial" w:eastAsia="Arial" w:hAnsi="Arial" w:cs="Arial"/>
          <w:b/>
          <w:sz w:val="24"/>
          <w:szCs w:val="24"/>
        </w:rPr>
        <w:tab/>
        <w:t>ANA PAOLA GARCÍA SOTO</w:t>
      </w:r>
    </w:p>
    <w:p w14:paraId="135B6C85" w14:textId="2BD44F84" w:rsidR="005D3E67" w:rsidRPr="00AD393D" w:rsidRDefault="005D3E67" w:rsidP="00927724">
      <w:pPr>
        <w:spacing w:after="0" w:line="240" w:lineRule="auto"/>
        <w:jc w:val="both"/>
        <w:rPr>
          <w:rFonts w:ascii="Arial" w:eastAsia="Arial" w:hAnsi="Arial" w:cs="Arial"/>
          <w:sz w:val="24"/>
          <w:szCs w:val="24"/>
        </w:rPr>
      </w:pPr>
      <w:r w:rsidRPr="00AD393D">
        <w:rPr>
          <w:rFonts w:ascii="Arial" w:eastAsia="Arial" w:hAnsi="Arial" w:cs="Arial"/>
          <w:sz w:val="24"/>
          <w:szCs w:val="24"/>
        </w:rPr>
        <w:t>Representante a la Cámara</w:t>
      </w:r>
      <w:r w:rsidRPr="00AD393D">
        <w:rPr>
          <w:rFonts w:ascii="Arial" w:eastAsia="Arial" w:hAnsi="Arial" w:cs="Arial"/>
          <w:sz w:val="24"/>
          <w:szCs w:val="24"/>
        </w:rPr>
        <w:tab/>
      </w:r>
      <w:r w:rsidRPr="00AD393D">
        <w:rPr>
          <w:rFonts w:ascii="Arial" w:eastAsia="Arial" w:hAnsi="Arial" w:cs="Arial"/>
          <w:sz w:val="24"/>
          <w:szCs w:val="24"/>
        </w:rPr>
        <w:tab/>
      </w:r>
      <w:r w:rsidRPr="00AD393D">
        <w:rPr>
          <w:rFonts w:ascii="Arial" w:eastAsia="Arial" w:hAnsi="Arial" w:cs="Arial"/>
          <w:sz w:val="24"/>
          <w:szCs w:val="24"/>
        </w:rPr>
        <w:tab/>
        <w:t>Representante a la Cámara</w:t>
      </w:r>
    </w:p>
    <w:p w14:paraId="57DCFC18" w14:textId="195B4092" w:rsidR="00DC2EC7" w:rsidRPr="00AD393D" w:rsidRDefault="0769B0F9" w:rsidP="00927724">
      <w:pPr>
        <w:spacing w:after="0" w:line="240" w:lineRule="auto"/>
        <w:jc w:val="both"/>
        <w:rPr>
          <w:rFonts w:ascii="Arial" w:eastAsia="Arial" w:hAnsi="Arial" w:cs="Arial"/>
          <w:sz w:val="24"/>
          <w:szCs w:val="24"/>
        </w:rPr>
      </w:pPr>
      <w:r w:rsidRPr="00AD393D">
        <w:rPr>
          <w:rFonts w:ascii="Arial" w:eastAsia="Arial" w:hAnsi="Arial" w:cs="Arial"/>
          <w:sz w:val="24"/>
          <w:szCs w:val="24"/>
        </w:rPr>
        <w:t>Departamento de Sucre</w:t>
      </w:r>
      <w:r w:rsidR="005D3E67" w:rsidRPr="00AD393D">
        <w:tab/>
      </w:r>
      <w:r w:rsidR="005D3E67" w:rsidRPr="00AD393D">
        <w:tab/>
      </w:r>
      <w:r w:rsidR="005D3E67" w:rsidRPr="00AD393D">
        <w:tab/>
      </w:r>
      <w:r w:rsidR="005D3E67" w:rsidRPr="00AD393D">
        <w:tab/>
      </w:r>
      <w:r w:rsidRPr="00AD393D">
        <w:rPr>
          <w:rFonts w:ascii="Arial" w:eastAsia="Arial" w:hAnsi="Arial" w:cs="Arial"/>
          <w:sz w:val="24"/>
          <w:szCs w:val="24"/>
        </w:rPr>
        <w:t>Departamento de Córdoba</w:t>
      </w:r>
      <w:r w:rsidR="005D3E67" w:rsidRPr="00AD393D">
        <w:rPr>
          <w:rFonts w:ascii="Arial" w:eastAsia="Arial" w:hAnsi="Arial" w:cs="Arial"/>
          <w:sz w:val="24"/>
          <w:szCs w:val="24"/>
        </w:rPr>
        <w:br w:type="page"/>
      </w:r>
    </w:p>
    <w:p w14:paraId="53C0158F" w14:textId="46014C5B" w:rsidR="00DC2EC7" w:rsidRPr="00AD393D" w:rsidRDefault="005F06D9" w:rsidP="005F06D9">
      <w:pPr>
        <w:pBdr>
          <w:top w:val="nil"/>
          <w:left w:val="nil"/>
          <w:bottom w:val="nil"/>
          <w:right w:val="nil"/>
          <w:between w:val="nil"/>
        </w:pBdr>
        <w:spacing w:after="0" w:line="240" w:lineRule="auto"/>
        <w:jc w:val="center"/>
        <w:rPr>
          <w:rFonts w:ascii="Arial" w:eastAsia="Arial" w:hAnsi="Arial" w:cs="Arial"/>
          <w:b/>
          <w:bCs/>
          <w:color w:val="000000"/>
          <w:sz w:val="24"/>
          <w:szCs w:val="24"/>
        </w:rPr>
      </w:pPr>
      <w:r w:rsidRPr="00AD393D">
        <w:rPr>
          <w:rFonts w:ascii="Arial" w:eastAsia="Arial" w:hAnsi="Arial" w:cs="Arial"/>
          <w:b/>
          <w:bCs/>
          <w:color w:val="000000"/>
          <w:sz w:val="24"/>
          <w:szCs w:val="24"/>
        </w:rPr>
        <w:lastRenderedPageBreak/>
        <w:t xml:space="preserve">INFORME DE </w:t>
      </w:r>
      <w:r w:rsidR="00F44AC1" w:rsidRPr="00AD393D">
        <w:rPr>
          <w:rFonts w:ascii="Arial" w:eastAsia="Arial" w:hAnsi="Arial" w:cs="Arial"/>
          <w:b/>
          <w:bCs/>
          <w:color w:val="000000"/>
          <w:sz w:val="24"/>
          <w:szCs w:val="24"/>
        </w:rPr>
        <w:t>SUBCOMISIÓN</w:t>
      </w:r>
    </w:p>
    <w:p w14:paraId="73C70559" w14:textId="77777777" w:rsidR="00F44AC1" w:rsidRPr="00AD393D" w:rsidRDefault="00F44AC1" w:rsidP="00F44AC1">
      <w:pPr>
        <w:pBdr>
          <w:top w:val="nil"/>
          <w:left w:val="nil"/>
          <w:bottom w:val="nil"/>
          <w:right w:val="nil"/>
          <w:between w:val="nil"/>
        </w:pBdr>
        <w:spacing w:after="0" w:line="240" w:lineRule="auto"/>
        <w:jc w:val="center"/>
        <w:rPr>
          <w:rFonts w:ascii="Arial" w:eastAsia="Arial" w:hAnsi="Arial" w:cs="Arial"/>
          <w:b/>
          <w:bCs/>
          <w:color w:val="000000"/>
          <w:sz w:val="24"/>
          <w:szCs w:val="24"/>
        </w:rPr>
      </w:pPr>
      <w:r w:rsidRPr="00AD393D">
        <w:rPr>
          <w:rFonts w:ascii="Arial" w:eastAsia="Arial" w:hAnsi="Arial" w:cs="Arial"/>
          <w:b/>
          <w:bCs/>
          <w:color w:val="000000"/>
          <w:sz w:val="24"/>
          <w:szCs w:val="24"/>
        </w:rPr>
        <w:t xml:space="preserve">Respuesta a la rendición de cuentas anual del Ministerio del Interior y el Ministerio de Justicia y del Derecho </w:t>
      </w:r>
    </w:p>
    <w:p w14:paraId="03AFF1B6" w14:textId="77777777" w:rsidR="00F44AC1" w:rsidRPr="00AD393D" w:rsidRDefault="00F44AC1" w:rsidP="005F06D9">
      <w:pPr>
        <w:pBdr>
          <w:top w:val="nil"/>
          <w:left w:val="nil"/>
          <w:bottom w:val="nil"/>
          <w:right w:val="nil"/>
          <w:between w:val="nil"/>
        </w:pBdr>
        <w:spacing w:after="0" w:line="240" w:lineRule="auto"/>
        <w:jc w:val="center"/>
        <w:rPr>
          <w:rFonts w:ascii="Arial" w:eastAsia="Arial" w:hAnsi="Arial" w:cs="Arial"/>
          <w:b/>
          <w:bCs/>
          <w:color w:val="000000"/>
          <w:sz w:val="24"/>
          <w:szCs w:val="24"/>
        </w:rPr>
      </w:pPr>
    </w:p>
    <w:p w14:paraId="64B9AB6A" w14:textId="77777777" w:rsidR="005F06D9" w:rsidRPr="00AD393D" w:rsidRDefault="005F06D9" w:rsidP="005F06D9">
      <w:pPr>
        <w:pBdr>
          <w:top w:val="nil"/>
          <w:left w:val="nil"/>
          <w:bottom w:val="nil"/>
          <w:right w:val="nil"/>
          <w:between w:val="nil"/>
        </w:pBdr>
        <w:spacing w:after="0" w:line="240" w:lineRule="auto"/>
        <w:jc w:val="center"/>
        <w:rPr>
          <w:rFonts w:ascii="Arial" w:eastAsia="Arial" w:hAnsi="Arial" w:cs="Arial"/>
          <w:color w:val="000000"/>
          <w:sz w:val="24"/>
          <w:szCs w:val="24"/>
        </w:rPr>
      </w:pPr>
    </w:p>
    <w:p w14:paraId="12D8EC18" w14:textId="500F51C9" w:rsidR="6B92079F" w:rsidRPr="00AD393D" w:rsidRDefault="6B92079F" w:rsidP="6B92079F">
      <w:pPr>
        <w:pBdr>
          <w:top w:val="nil"/>
          <w:left w:val="nil"/>
          <w:bottom w:val="nil"/>
          <w:right w:val="nil"/>
          <w:between w:val="nil"/>
        </w:pBdr>
        <w:spacing w:after="0" w:line="240" w:lineRule="auto"/>
        <w:jc w:val="both"/>
        <w:rPr>
          <w:rFonts w:ascii="Arial" w:eastAsia="Arial" w:hAnsi="Arial" w:cs="Arial"/>
          <w:color w:val="000000" w:themeColor="text1"/>
          <w:sz w:val="24"/>
          <w:szCs w:val="24"/>
        </w:rPr>
      </w:pPr>
    </w:p>
    <w:p w14:paraId="1AF5CC2D" w14:textId="0233716B" w:rsidR="00960193" w:rsidRPr="00AD393D" w:rsidRDefault="6B92079F" w:rsidP="6B92079F">
      <w:pPr>
        <w:pStyle w:val="Prrafodelista"/>
        <w:numPr>
          <w:ilvl w:val="0"/>
          <w:numId w:val="10"/>
        </w:numPr>
        <w:jc w:val="both"/>
        <w:rPr>
          <w:rFonts w:ascii="Arial" w:eastAsia="Arial" w:hAnsi="Arial" w:cs="Arial"/>
          <w:b/>
          <w:bCs/>
          <w:color w:val="000000" w:themeColor="text1"/>
          <w:lang w:val="es-CO" w:eastAsia="en-US"/>
        </w:rPr>
      </w:pPr>
      <w:r w:rsidRPr="00AD393D">
        <w:rPr>
          <w:rFonts w:ascii="Arial" w:eastAsia="Arial" w:hAnsi="Arial" w:cs="Arial"/>
          <w:b/>
          <w:bCs/>
          <w:color w:val="000000" w:themeColor="text1"/>
          <w:lang w:val="es-CO"/>
        </w:rPr>
        <w:t xml:space="preserve">OBSERVACIONES AL </w:t>
      </w:r>
      <w:r w:rsidRPr="00AD393D">
        <w:rPr>
          <w:rFonts w:ascii="Arial" w:eastAsia="Arial" w:hAnsi="Arial" w:cs="Arial"/>
          <w:b/>
          <w:bCs/>
          <w:color w:val="000000" w:themeColor="text1"/>
          <w:lang w:val="es-CO" w:eastAsia="en-US"/>
        </w:rPr>
        <w:t>INFORME DE RENDICIÓN DE CUENTAS, MINISTERIO DE JUSTICIA Y DEL DERECHO 2023.</w:t>
      </w:r>
    </w:p>
    <w:p w14:paraId="60CD96AE" w14:textId="7B9B8B72" w:rsidR="6B92079F" w:rsidRPr="00AD393D" w:rsidRDefault="6B92079F" w:rsidP="6B92079F">
      <w:pPr>
        <w:jc w:val="both"/>
        <w:rPr>
          <w:rFonts w:ascii="Arial" w:eastAsia="Arial" w:hAnsi="Arial" w:cs="Arial"/>
          <w:b/>
          <w:bCs/>
          <w:color w:val="000000" w:themeColor="text1"/>
        </w:rPr>
      </w:pPr>
    </w:p>
    <w:p w14:paraId="74B37F42" w14:textId="77777777" w:rsidR="00AD393D" w:rsidRPr="00AD393D" w:rsidRDefault="00AD393D" w:rsidP="00AD393D">
      <w:pPr>
        <w:pBdr>
          <w:top w:val="nil"/>
          <w:left w:val="nil"/>
          <w:bottom w:val="nil"/>
          <w:right w:val="nil"/>
          <w:between w:val="nil"/>
        </w:pBdr>
        <w:spacing w:after="0" w:line="240" w:lineRule="auto"/>
        <w:jc w:val="both"/>
        <w:rPr>
          <w:rFonts w:ascii="Arial" w:eastAsia="Arial" w:hAnsi="Arial" w:cs="Arial"/>
          <w:color w:val="000000" w:themeColor="text1"/>
          <w:sz w:val="24"/>
          <w:szCs w:val="24"/>
        </w:rPr>
      </w:pPr>
      <w:r w:rsidRPr="00AD393D">
        <w:rPr>
          <w:rFonts w:ascii="Arial" w:eastAsia="Arial" w:hAnsi="Arial" w:cs="Arial"/>
          <w:color w:val="000000" w:themeColor="text1"/>
          <w:sz w:val="24"/>
          <w:szCs w:val="24"/>
        </w:rPr>
        <w:t xml:space="preserve">En términos generales del informe, es pertinente señalar que: </w:t>
      </w:r>
    </w:p>
    <w:p w14:paraId="2525EC48" w14:textId="77777777" w:rsidR="00AD393D" w:rsidRPr="00AD393D" w:rsidRDefault="00AD393D" w:rsidP="00AD393D">
      <w:pPr>
        <w:pBdr>
          <w:top w:val="nil"/>
          <w:left w:val="nil"/>
          <w:bottom w:val="nil"/>
          <w:right w:val="nil"/>
          <w:between w:val="nil"/>
        </w:pBdr>
        <w:spacing w:after="0" w:line="240" w:lineRule="auto"/>
        <w:jc w:val="both"/>
      </w:pPr>
      <w:r w:rsidRPr="00AD393D">
        <w:rPr>
          <w:rFonts w:ascii="Arial" w:eastAsia="Arial" w:hAnsi="Arial" w:cs="Arial"/>
          <w:color w:val="000000" w:themeColor="text1"/>
          <w:sz w:val="24"/>
          <w:szCs w:val="24"/>
        </w:rPr>
        <w:t xml:space="preserve"> </w:t>
      </w:r>
    </w:p>
    <w:p w14:paraId="3AE64FD0" w14:textId="77777777" w:rsidR="00AD393D" w:rsidRPr="00AD393D" w:rsidRDefault="00AD393D" w:rsidP="00AD393D">
      <w:pPr>
        <w:pBdr>
          <w:top w:val="nil"/>
          <w:left w:val="nil"/>
          <w:bottom w:val="nil"/>
          <w:right w:val="nil"/>
          <w:between w:val="nil"/>
        </w:pBdr>
        <w:spacing w:after="0" w:line="240" w:lineRule="auto"/>
        <w:jc w:val="both"/>
        <w:rPr>
          <w:rFonts w:ascii="Arial" w:eastAsia="Arial" w:hAnsi="Arial" w:cs="Arial"/>
          <w:color w:val="000000"/>
          <w:sz w:val="24"/>
          <w:szCs w:val="24"/>
        </w:rPr>
      </w:pPr>
      <w:r w:rsidRPr="00AD393D">
        <w:rPr>
          <w:rFonts w:ascii="Arial" w:eastAsia="Arial" w:hAnsi="Arial" w:cs="Arial"/>
          <w:color w:val="000000" w:themeColor="text1"/>
          <w:sz w:val="24"/>
          <w:szCs w:val="24"/>
        </w:rPr>
        <w:t xml:space="preserve">En primer lugar, si estos documentos son los únicos con los cuales se da la rendición de cuentas, hay que anotar que no se presentan indicadores o metas que permitan saber si lo que se reporta es suficiente o no. Seguidamente, si solo se evalúa el desempeño de las entidades ateniéndose a lo reportado, es decir, sin indicadores, al menos debería presentarse una serie de medidas de qué tan efectivo han sido los programas que han implementado, más allá si esa cantidad específica de programas es suficiente o no, la propia eficacia de cada programa reportado. </w:t>
      </w:r>
    </w:p>
    <w:p w14:paraId="0EF55466" w14:textId="77777777" w:rsidR="00AD393D" w:rsidRDefault="00AD393D" w:rsidP="6B92079F">
      <w:pPr>
        <w:jc w:val="both"/>
        <w:rPr>
          <w:rFonts w:ascii="Arial" w:eastAsia="Arial" w:hAnsi="Arial" w:cs="Arial"/>
          <w:color w:val="000000" w:themeColor="text1"/>
          <w:sz w:val="24"/>
          <w:szCs w:val="24"/>
        </w:rPr>
      </w:pPr>
    </w:p>
    <w:p w14:paraId="6D81CB36" w14:textId="032A75C9" w:rsidR="6B92079F" w:rsidRPr="00AD393D" w:rsidRDefault="6B92079F" w:rsidP="6B92079F">
      <w:pPr>
        <w:jc w:val="both"/>
        <w:rPr>
          <w:rFonts w:ascii="Arial" w:eastAsia="Arial" w:hAnsi="Arial" w:cs="Arial"/>
          <w:color w:val="000000" w:themeColor="text1"/>
          <w:sz w:val="24"/>
          <w:szCs w:val="24"/>
        </w:rPr>
      </w:pPr>
      <w:r w:rsidRPr="00AD393D">
        <w:rPr>
          <w:rFonts w:ascii="Arial" w:eastAsia="Arial" w:hAnsi="Arial" w:cs="Arial"/>
          <w:color w:val="000000" w:themeColor="text1"/>
          <w:sz w:val="24"/>
          <w:szCs w:val="24"/>
        </w:rPr>
        <w:t>El informe presentado por el Ministerio de Justicia y del Derecho para el año 2023, refiere la existencia de un Plan Estratégico Institucional, metas que se ha trazado el Gobierno Nacional, el Plan de Acción Institucional y el Plan Anticorrupción y Atención al Ciudadano. No obstante, no existen anexos que permitan comprobar el cumplimiento de cada uno de los competentes, ni las acciones desarrolladas para lograr la implementación.</w:t>
      </w:r>
    </w:p>
    <w:p w14:paraId="73839322" w14:textId="69A398DE" w:rsidR="6B92079F" w:rsidRPr="00AD393D" w:rsidRDefault="6B92079F" w:rsidP="6B92079F">
      <w:pPr>
        <w:pStyle w:val="Prrafodelista"/>
        <w:numPr>
          <w:ilvl w:val="0"/>
          <w:numId w:val="6"/>
        </w:numPr>
        <w:spacing w:after="160" w:line="259" w:lineRule="auto"/>
        <w:jc w:val="both"/>
        <w:rPr>
          <w:rFonts w:ascii="Arial" w:eastAsia="Arial" w:hAnsi="Arial" w:cs="Arial"/>
          <w:color w:val="000000" w:themeColor="text1"/>
          <w:lang w:val="es-CO" w:eastAsia="en-US"/>
        </w:rPr>
      </w:pPr>
      <w:r w:rsidRPr="00AD393D">
        <w:rPr>
          <w:rFonts w:ascii="Arial" w:eastAsia="Arial" w:hAnsi="Arial" w:cs="Arial"/>
          <w:color w:val="000000" w:themeColor="text1"/>
          <w:lang w:val="es-CO" w:eastAsia="en-US"/>
        </w:rPr>
        <w:t>Sobre la información del Plan de Acción Institucional, no existe claridad sobre el programa de culminación del Grupo de Gestión Administrativo, dado que se hace referencia al año 2021; lo que nos hace pensar que es un error de digitación, por lo que no se tendría información al respecto o se requiere la debida claridad.</w:t>
      </w:r>
    </w:p>
    <w:p w14:paraId="24C6FEC3" w14:textId="203741BE" w:rsidR="6B92079F" w:rsidRPr="00AD393D" w:rsidRDefault="6B92079F" w:rsidP="6B92079F">
      <w:pPr>
        <w:pStyle w:val="Prrafodelista"/>
        <w:spacing w:after="160" w:line="259" w:lineRule="auto"/>
        <w:jc w:val="both"/>
        <w:rPr>
          <w:rFonts w:ascii="Arial" w:eastAsia="Arial" w:hAnsi="Arial" w:cs="Arial"/>
          <w:color w:val="000000" w:themeColor="text1"/>
          <w:lang w:val="es-CO" w:eastAsia="en-US"/>
        </w:rPr>
      </w:pPr>
    </w:p>
    <w:p w14:paraId="0F0A1614" w14:textId="6CB11141" w:rsidR="6B92079F" w:rsidRPr="00AD393D" w:rsidRDefault="6B92079F" w:rsidP="6B92079F">
      <w:pPr>
        <w:pStyle w:val="Prrafodelista"/>
        <w:numPr>
          <w:ilvl w:val="0"/>
          <w:numId w:val="6"/>
        </w:numPr>
        <w:spacing w:after="160" w:line="259" w:lineRule="auto"/>
        <w:jc w:val="both"/>
        <w:rPr>
          <w:rFonts w:ascii="Arial" w:eastAsia="Arial" w:hAnsi="Arial" w:cs="Arial"/>
          <w:color w:val="000000" w:themeColor="text1"/>
          <w:lang w:val="es-CO" w:eastAsia="en-US"/>
        </w:rPr>
      </w:pPr>
      <w:r w:rsidRPr="00AD393D">
        <w:rPr>
          <w:rFonts w:ascii="Arial" w:eastAsia="Arial" w:hAnsi="Arial" w:cs="Arial"/>
          <w:color w:val="000000" w:themeColor="text1"/>
          <w:lang w:val="es-CO" w:eastAsia="en-US"/>
        </w:rPr>
        <w:t>El corte que se evidencia en algunos competentes dispuesto en el Plan Anticorrupción y Atención al Ciudadano por ejemplo refiere información hasta el 31 de agosto de 2023; no permitiendo con ello contar con información consolidada a la finalización del año 2023, lo cual genera dudas y cuestionamientos sobre la forma en que se calculan los indicadores y estados de avance que se expresan en el documento.</w:t>
      </w:r>
    </w:p>
    <w:p w14:paraId="37A1518F" w14:textId="4305843A" w:rsidR="6B92079F" w:rsidRPr="00AD393D" w:rsidRDefault="6B92079F" w:rsidP="6B92079F">
      <w:pPr>
        <w:pStyle w:val="Prrafodelista"/>
        <w:spacing w:after="160" w:line="259" w:lineRule="auto"/>
        <w:jc w:val="both"/>
        <w:rPr>
          <w:rFonts w:ascii="Arial" w:eastAsia="Arial" w:hAnsi="Arial" w:cs="Arial"/>
          <w:color w:val="000000" w:themeColor="text1"/>
          <w:lang w:val="es-CO" w:eastAsia="en-US"/>
        </w:rPr>
      </w:pPr>
    </w:p>
    <w:p w14:paraId="58A4B0E6" w14:textId="48FF2144" w:rsidR="6B92079F" w:rsidRPr="00AD393D" w:rsidRDefault="6B92079F" w:rsidP="6B92079F">
      <w:pPr>
        <w:pStyle w:val="Prrafodelista"/>
        <w:numPr>
          <w:ilvl w:val="0"/>
          <w:numId w:val="6"/>
        </w:numPr>
        <w:spacing w:after="160" w:line="259" w:lineRule="auto"/>
        <w:jc w:val="both"/>
        <w:rPr>
          <w:rFonts w:ascii="Arial" w:eastAsia="Arial" w:hAnsi="Arial" w:cs="Arial"/>
          <w:color w:val="000000" w:themeColor="text1"/>
          <w:lang w:val="es-CO" w:eastAsia="en-US"/>
        </w:rPr>
      </w:pPr>
      <w:r w:rsidRPr="00AD393D">
        <w:rPr>
          <w:rFonts w:ascii="Arial" w:eastAsia="Arial" w:hAnsi="Arial" w:cs="Arial"/>
          <w:color w:val="000000" w:themeColor="text1"/>
          <w:lang w:val="es-CO" w:eastAsia="en-US"/>
        </w:rPr>
        <w:t>Frente a los temas presupuestales se señala corte a octubre de 2023, no existe un análisis del cierre de año fiscal; lo cual dificulta conocer con claridad la ejecución total del presupuesto para el año 2023.</w:t>
      </w:r>
    </w:p>
    <w:p w14:paraId="43B5F597" w14:textId="16B6FCB6" w:rsidR="6B92079F" w:rsidRPr="00AD393D" w:rsidRDefault="6B92079F" w:rsidP="6B92079F">
      <w:pPr>
        <w:pStyle w:val="Prrafodelista"/>
        <w:spacing w:after="160" w:line="259" w:lineRule="auto"/>
        <w:jc w:val="both"/>
        <w:rPr>
          <w:rFonts w:ascii="Arial" w:eastAsia="Arial" w:hAnsi="Arial" w:cs="Arial"/>
          <w:color w:val="000000" w:themeColor="text1"/>
          <w:lang w:val="es-CO" w:eastAsia="en-US"/>
        </w:rPr>
      </w:pPr>
    </w:p>
    <w:p w14:paraId="2EB4C966" w14:textId="1C8F60AE" w:rsidR="6B92079F" w:rsidRPr="00AD393D" w:rsidRDefault="6B92079F" w:rsidP="6B92079F">
      <w:pPr>
        <w:pStyle w:val="Prrafodelista"/>
        <w:spacing w:after="160" w:line="259" w:lineRule="auto"/>
        <w:jc w:val="both"/>
        <w:rPr>
          <w:rFonts w:ascii="Arial" w:eastAsia="Arial" w:hAnsi="Arial" w:cs="Arial"/>
          <w:color w:val="000000" w:themeColor="text1"/>
          <w:lang w:val="es-CO" w:eastAsia="en-US"/>
        </w:rPr>
      </w:pPr>
      <w:r w:rsidRPr="00AD393D">
        <w:rPr>
          <w:rFonts w:ascii="Arial" w:eastAsia="Arial" w:hAnsi="Arial" w:cs="Arial"/>
          <w:color w:val="000000" w:themeColor="text1"/>
          <w:lang w:val="es-CO" w:eastAsia="en-US"/>
        </w:rPr>
        <w:t>Adicionalmente, la entidad solicitó 6.2 billones de pesos para la vigencia 2024. El Ministerio de Hacienda y Crédito Público le asignó 5 billones de pesos, de los cuales a corte de junio 2024 se han ejecutado el 56.7%, es decir, 2.8 billones. Información que es clave revisar atendiendo a las proyecciones realizada en el año 2023 y a la ejecución presupuestal de la entidad en ese mismo año.</w:t>
      </w:r>
    </w:p>
    <w:p w14:paraId="47B1139F" w14:textId="1B9A3827" w:rsidR="6B92079F" w:rsidRPr="00AD393D" w:rsidRDefault="6B92079F" w:rsidP="6B92079F">
      <w:pPr>
        <w:pStyle w:val="Prrafodelista"/>
        <w:spacing w:after="160" w:line="259" w:lineRule="auto"/>
        <w:jc w:val="both"/>
        <w:rPr>
          <w:rFonts w:ascii="Arial" w:eastAsia="Arial" w:hAnsi="Arial" w:cs="Arial"/>
          <w:color w:val="000000" w:themeColor="text1"/>
          <w:lang w:val="es-CO" w:eastAsia="en-US"/>
        </w:rPr>
      </w:pPr>
    </w:p>
    <w:p w14:paraId="6F251F09" w14:textId="386CD6B5" w:rsidR="6B92079F" w:rsidRPr="00AD393D" w:rsidRDefault="6B92079F" w:rsidP="6B92079F">
      <w:pPr>
        <w:pStyle w:val="Prrafodelista"/>
        <w:spacing w:after="160" w:line="259" w:lineRule="auto"/>
        <w:jc w:val="both"/>
        <w:rPr>
          <w:rFonts w:ascii="Arial" w:eastAsia="Arial" w:hAnsi="Arial" w:cs="Arial"/>
          <w:color w:val="000000" w:themeColor="text1"/>
          <w:lang w:val="es-CO" w:eastAsia="en-US"/>
        </w:rPr>
      </w:pPr>
      <w:r w:rsidRPr="00AD393D">
        <w:rPr>
          <w:rFonts w:ascii="Arial" w:eastAsia="Arial" w:hAnsi="Arial" w:cs="Arial"/>
          <w:color w:val="000000" w:themeColor="text1"/>
          <w:lang w:val="es-CO" w:eastAsia="en-US"/>
        </w:rPr>
        <w:t xml:space="preserve">Por lo anterior y atendiendo a la información de la rendición de cuentas, es válido preguntarnos: ¿Se </w:t>
      </w:r>
      <w:r w:rsidR="00AD393D" w:rsidRPr="00AD393D">
        <w:rPr>
          <w:rFonts w:ascii="Arial" w:eastAsia="Arial" w:hAnsi="Arial" w:cs="Arial"/>
          <w:color w:val="000000" w:themeColor="text1"/>
          <w:lang w:val="es-CO" w:eastAsia="en-US"/>
        </w:rPr>
        <w:t>ejecutó</w:t>
      </w:r>
      <w:r w:rsidRPr="00AD393D">
        <w:rPr>
          <w:rFonts w:ascii="Arial" w:eastAsia="Arial" w:hAnsi="Arial" w:cs="Arial"/>
          <w:color w:val="000000" w:themeColor="text1"/>
          <w:lang w:val="es-CO" w:eastAsia="en-US"/>
        </w:rPr>
        <w:t xml:space="preserve"> el 25% restante del presupuesto en diciembre de 2023?  La solicitud realizada es de 26 puntos porcentuales por encima de la inflación; la cartera está solicitando un cuarto (1/4) adicional de su presupuesto del 2023 en términos reales ¿tiene capacidad para ejecutarlos? </w:t>
      </w:r>
    </w:p>
    <w:p w14:paraId="1FBFC09F" w14:textId="55BEFEFF" w:rsidR="6B92079F" w:rsidRPr="00AD393D" w:rsidRDefault="6B92079F" w:rsidP="6B92079F">
      <w:pPr>
        <w:pStyle w:val="Prrafodelista"/>
        <w:spacing w:after="160" w:line="259" w:lineRule="auto"/>
        <w:jc w:val="both"/>
        <w:rPr>
          <w:rFonts w:ascii="Arial" w:eastAsia="Arial" w:hAnsi="Arial" w:cs="Arial"/>
          <w:color w:val="000000" w:themeColor="text1"/>
          <w:lang w:val="es-CO" w:eastAsia="en-US"/>
        </w:rPr>
      </w:pPr>
    </w:p>
    <w:p w14:paraId="6FDEF554" w14:textId="263F4636" w:rsidR="6B92079F" w:rsidRPr="00AD393D" w:rsidRDefault="6B92079F" w:rsidP="6B92079F">
      <w:pPr>
        <w:pStyle w:val="Prrafodelista"/>
        <w:numPr>
          <w:ilvl w:val="0"/>
          <w:numId w:val="6"/>
        </w:numPr>
        <w:spacing w:after="160" w:line="259" w:lineRule="auto"/>
        <w:jc w:val="both"/>
        <w:rPr>
          <w:rFonts w:ascii="Arial" w:eastAsia="Arial" w:hAnsi="Arial" w:cs="Arial"/>
          <w:color w:val="000000" w:themeColor="text1"/>
          <w:lang w:val="es-CO" w:eastAsia="en-US"/>
        </w:rPr>
      </w:pPr>
      <w:r w:rsidRPr="00AD393D">
        <w:rPr>
          <w:rFonts w:ascii="Arial" w:eastAsia="Arial" w:hAnsi="Arial" w:cs="Arial"/>
          <w:color w:val="000000" w:themeColor="text1"/>
          <w:lang w:val="es-CO" w:eastAsia="en-US"/>
        </w:rPr>
        <w:t xml:space="preserve">Se señala en el informe que </w:t>
      </w:r>
      <w:r w:rsidRPr="00AD393D">
        <w:rPr>
          <w:rFonts w:ascii="Arial" w:eastAsia="Arial" w:hAnsi="Arial" w:cs="Arial"/>
          <w:i/>
          <w:iCs/>
          <w:color w:val="000000" w:themeColor="text1"/>
          <w:lang w:val="es-CO" w:eastAsia="en-US"/>
        </w:rPr>
        <w:t xml:space="preserve">la reglamentación del Sistema Nacional de Búsqueda “deberá ser aprobada para el último trimestre del 2023”, desarrollando disposiciones que deben contener la política pública en la materia”; </w:t>
      </w:r>
      <w:r w:rsidRPr="00AD393D">
        <w:rPr>
          <w:rFonts w:ascii="Arial" w:eastAsia="Arial" w:hAnsi="Arial" w:cs="Arial"/>
          <w:color w:val="000000" w:themeColor="text1"/>
          <w:lang w:val="es-CO" w:eastAsia="en-US"/>
        </w:rPr>
        <w:t>no obstante, dado que este es un informe parcial, no se puede comprobar si la meta se cumplió en el 2023 o de no cumplirse las razones por las cuales no fue posible.</w:t>
      </w:r>
    </w:p>
    <w:p w14:paraId="0F916C5C" w14:textId="6E3F3FB7" w:rsidR="6B92079F" w:rsidRPr="00AD393D" w:rsidRDefault="6B92079F" w:rsidP="6B92079F">
      <w:pPr>
        <w:pStyle w:val="Prrafodelista"/>
        <w:spacing w:after="160" w:line="259" w:lineRule="auto"/>
        <w:jc w:val="both"/>
        <w:rPr>
          <w:rFonts w:ascii="Arial" w:eastAsia="Arial" w:hAnsi="Arial" w:cs="Arial"/>
          <w:color w:val="000000" w:themeColor="text1"/>
          <w:lang w:val="es-CO" w:eastAsia="en-US"/>
        </w:rPr>
      </w:pPr>
    </w:p>
    <w:p w14:paraId="77B61EE6" w14:textId="5491A9FD" w:rsidR="6B92079F" w:rsidRPr="00AD393D" w:rsidRDefault="6B92079F" w:rsidP="6B92079F">
      <w:pPr>
        <w:pStyle w:val="Prrafodelista"/>
        <w:numPr>
          <w:ilvl w:val="0"/>
          <w:numId w:val="6"/>
        </w:numPr>
        <w:spacing w:after="160" w:line="259" w:lineRule="auto"/>
        <w:jc w:val="both"/>
        <w:rPr>
          <w:rFonts w:ascii="Arial" w:eastAsia="Arial" w:hAnsi="Arial" w:cs="Arial"/>
          <w:color w:val="000000" w:themeColor="text1"/>
          <w:lang w:val="es-CO" w:eastAsia="en-US"/>
        </w:rPr>
      </w:pPr>
      <w:r w:rsidRPr="00AD393D">
        <w:rPr>
          <w:rFonts w:ascii="Arial" w:eastAsia="Arial" w:hAnsi="Arial" w:cs="Arial"/>
          <w:color w:val="000000" w:themeColor="text1"/>
          <w:lang w:val="es-CO" w:eastAsia="en-US"/>
        </w:rPr>
        <w:t>En relación con los avances y apoyos del Ministerio en la implementación del Acuerdo de Paz, no existe claridad si el estado y el estado técnico hacen referencia al cierre del año 2023, o es como lo refiere la citación de la fuente del año 2022.</w:t>
      </w:r>
    </w:p>
    <w:p w14:paraId="717A6947" w14:textId="7A74A013" w:rsidR="6B92079F" w:rsidRPr="00AD393D" w:rsidRDefault="6B92079F" w:rsidP="6B92079F">
      <w:pPr>
        <w:pStyle w:val="Prrafodelista"/>
        <w:spacing w:after="160" w:line="259" w:lineRule="auto"/>
        <w:jc w:val="both"/>
        <w:rPr>
          <w:rFonts w:ascii="Arial" w:eastAsia="Arial" w:hAnsi="Arial" w:cs="Arial"/>
          <w:color w:val="000000" w:themeColor="text1"/>
          <w:lang w:val="es-CO" w:eastAsia="en-US"/>
        </w:rPr>
      </w:pPr>
    </w:p>
    <w:p w14:paraId="63DCBE32" w14:textId="3F6E3DE6" w:rsidR="6B92079F" w:rsidRPr="00AD393D" w:rsidRDefault="6B92079F" w:rsidP="6B92079F">
      <w:pPr>
        <w:pStyle w:val="Prrafodelista"/>
        <w:spacing w:after="160" w:line="259" w:lineRule="auto"/>
        <w:jc w:val="both"/>
        <w:rPr>
          <w:rFonts w:ascii="Arial" w:eastAsia="Arial" w:hAnsi="Arial" w:cs="Arial"/>
          <w:color w:val="000000" w:themeColor="text1"/>
          <w:lang w:val="es-CO" w:eastAsia="en-US"/>
        </w:rPr>
      </w:pPr>
      <w:r w:rsidRPr="00AD393D">
        <w:rPr>
          <w:rFonts w:ascii="Arial" w:eastAsia="Arial" w:hAnsi="Arial" w:cs="Arial"/>
          <w:color w:val="000000" w:themeColor="text1"/>
          <w:lang w:val="es-CO" w:eastAsia="en-US"/>
        </w:rPr>
        <w:t xml:space="preserve">De igual forma, se establece que el documento es una </w:t>
      </w:r>
      <w:r w:rsidRPr="00AD393D">
        <w:rPr>
          <w:rFonts w:ascii="Arial" w:eastAsia="Arial" w:hAnsi="Arial" w:cs="Arial"/>
          <w:i/>
          <w:iCs/>
          <w:color w:val="000000" w:themeColor="text1"/>
          <w:lang w:val="es-CO" w:eastAsia="en-US"/>
        </w:rPr>
        <w:t>“gestión institucional correspondiente a la vigencia 2023”</w:t>
      </w:r>
      <w:r w:rsidRPr="00AD393D">
        <w:rPr>
          <w:rFonts w:ascii="Arial" w:eastAsia="Arial" w:hAnsi="Arial" w:cs="Arial"/>
          <w:color w:val="000000" w:themeColor="text1"/>
          <w:lang w:val="es-CO" w:eastAsia="en-US"/>
        </w:rPr>
        <w:t>, pero al revisar el punto sobre el estudio nacional de consumo de sustancias psicoactivas, se evidencia como un “</w:t>
      </w:r>
      <w:r w:rsidRPr="00AD393D">
        <w:rPr>
          <w:rFonts w:ascii="Arial" w:eastAsia="Arial" w:hAnsi="Arial" w:cs="Arial"/>
          <w:i/>
          <w:iCs/>
          <w:color w:val="000000" w:themeColor="text1"/>
          <w:lang w:val="es-CO" w:eastAsia="en-US"/>
        </w:rPr>
        <w:t>indicador cumplido”</w:t>
      </w:r>
      <w:r w:rsidRPr="00AD393D">
        <w:rPr>
          <w:rFonts w:ascii="Arial" w:eastAsia="Arial" w:hAnsi="Arial" w:cs="Arial"/>
          <w:color w:val="000000" w:themeColor="text1"/>
          <w:lang w:val="es-CO" w:eastAsia="en-US"/>
        </w:rPr>
        <w:t>; pero este revela información del año 2020 y 2021, no contando con información que permita comprobar si hay nuevos compromisos e indicadores frente a este puntos, criterios de actualización o un compromiso más allá de la radicación de las iniciativas legislativas para el tratamiento penal diferenciado de los pequeños cultivadores.</w:t>
      </w:r>
    </w:p>
    <w:p w14:paraId="0701BD0E" w14:textId="0839B45C" w:rsidR="00960193" w:rsidRPr="00AD393D" w:rsidRDefault="00960193" w:rsidP="0769B0F9">
      <w:pPr>
        <w:pBdr>
          <w:top w:val="nil"/>
          <w:left w:val="nil"/>
          <w:bottom w:val="nil"/>
          <w:right w:val="nil"/>
          <w:between w:val="nil"/>
        </w:pBdr>
        <w:spacing w:after="0" w:line="240" w:lineRule="auto"/>
        <w:jc w:val="both"/>
        <w:rPr>
          <w:rFonts w:ascii="Arial" w:eastAsia="Arial" w:hAnsi="Arial" w:cs="Arial"/>
          <w:color w:val="000000"/>
          <w:sz w:val="24"/>
          <w:szCs w:val="24"/>
        </w:rPr>
      </w:pPr>
    </w:p>
    <w:p w14:paraId="77F03E2A" w14:textId="296376BA" w:rsidR="00960193" w:rsidRPr="00AD393D" w:rsidRDefault="6B92079F" w:rsidP="6B92079F">
      <w:pPr>
        <w:pBdr>
          <w:top w:val="nil"/>
          <w:left w:val="nil"/>
          <w:bottom w:val="nil"/>
          <w:right w:val="nil"/>
          <w:between w:val="nil"/>
        </w:pBdr>
        <w:spacing w:after="0" w:line="240" w:lineRule="auto"/>
        <w:jc w:val="both"/>
        <w:rPr>
          <w:rFonts w:ascii="Arial" w:eastAsia="Arial" w:hAnsi="Arial" w:cs="Arial"/>
          <w:color w:val="000000" w:themeColor="text1"/>
          <w:sz w:val="24"/>
          <w:szCs w:val="24"/>
        </w:rPr>
      </w:pPr>
      <w:r w:rsidRPr="00AD393D">
        <w:rPr>
          <w:rFonts w:ascii="Arial" w:eastAsia="Arial" w:hAnsi="Arial" w:cs="Arial"/>
          <w:color w:val="000000" w:themeColor="text1"/>
          <w:sz w:val="24"/>
          <w:szCs w:val="24"/>
        </w:rPr>
        <w:t>De la misma forma, la información permite comprobar los datos de función pública, en relación con el alto puntaje de desempeño institucional. No obstante, es necesario al igual que se señalan los puntajes, señalar con claridad, los criterios de evaluación y las acciones de mejora para que la entidad continue avanzando en su desempeño.</w:t>
      </w:r>
    </w:p>
    <w:p w14:paraId="6B26C604" w14:textId="460F2707" w:rsidR="00960193" w:rsidRPr="00AD393D" w:rsidRDefault="00960193" w:rsidP="6B92079F">
      <w:pPr>
        <w:pBdr>
          <w:top w:val="nil"/>
          <w:left w:val="nil"/>
          <w:bottom w:val="nil"/>
          <w:right w:val="nil"/>
          <w:between w:val="nil"/>
        </w:pBdr>
        <w:spacing w:after="0" w:line="240" w:lineRule="auto"/>
        <w:jc w:val="both"/>
        <w:rPr>
          <w:rFonts w:ascii="Arial" w:eastAsia="Arial" w:hAnsi="Arial" w:cs="Arial"/>
          <w:color w:val="000000" w:themeColor="text1"/>
          <w:sz w:val="24"/>
          <w:szCs w:val="24"/>
        </w:rPr>
      </w:pPr>
    </w:p>
    <w:p w14:paraId="6B60C1A0" w14:textId="7B86A6DB" w:rsidR="00960193" w:rsidRPr="00AD393D" w:rsidRDefault="6B92079F" w:rsidP="6B92079F">
      <w:pPr>
        <w:pBdr>
          <w:top w:val="nil"/>
          <w:left w:val="nil"/>
          <w:bottom w:val="nil"/>
          <w:right w:val="nil"/>
          <w:between w:val="nil"/>
        </w:pBdr>
        <w:spacing w:after="0" w:line="240" w:lineRule="auto"/>
        <w:jc w:val="both"/>
        <w:rPr>
          <w:rFonts w:ascii="Arial" w:eastAsia="Arial" w:hAnsi="Arial" w:cs="Arial"/>
          <w:color w:val="000000"/>
          <w:sz w:val="24"/>
          <w:szCs w:val="24"/>
        </w:rPr>
      </w:pPr>
      <w:r w:rsidRPr="00AD393D">
        <w:rPr>
          <w:rFonts w:ascii="Arial" w:eastAsia="Arial" w:hAnsi="Arial" w:cs="Arial"/>
          <w:color w:val="000000" w:themeColor="text1"/>
          <w:sz w:val="24"/>
          <w:szCs w:val="24"/>
        </w:rPr>
        <w:t>Del análisis integral de la rendición de cuentas del Ministerio de Justicia y del Derecho del año 2023, se resalta la facilidad de lectura del documento y la puesta en marcha de disposiciones para explicar fácilmente a los ciudadanos el funcionamiento interno de la entidad y sus programas; ejemplo de ello es la explicación detalla de las actividades realizadas con el informe de la Comisión para el Esclarecimiento de la Verdad, la Convivencia y la No Repetición -CEV- o los eventos realizados para la implementación de las disposiciones de la Ley 2292 de 2023. Pero estos informes deben contar con todos los anexos necesarios para analizar indicadores y cumplir metas y lograr la transparencia de la entidad en el desarrollo de sus actividades.</w:t>
      </w:r>
    </w:p>
    <w:p w14:paraId="0B07FDEC" w14:textId="1618273E" w:rsidR="00DC2EC7" w:rsidRDefault="00DC2EC7" w:rsidP="6B92079F">
      <w:pPr>
        <w:pBdr>
          <w:top w:val="nil"/>
          <w:left w:val="nil"/>
          <w:bottom w:val="nil"/>
          <w:right w:val="nil"/>
          <w:between w:val="nil"/>
        </w:pBdr>
        <w:spacing w:after="0" w:line="240" w:lineRule="auto"/>
        <w:jc w:val="both"/>
        <w:rPr>
          <w:rFonts w:ascii="Arial" w:eastAsia="Arial" w:hAnsi="Arial" w:cs="Arial"/>
          <w:color w:val="000000"/>
          <w:sz w:val="24"/>
          <w:szCs w:val="24"/>
        </w:rPr>
      </w:pPr>
    </w:p>
    <w:p w14:paraId="37A627F3" w14:textId="77777777" w:rsidR="00771F50" w:rsidRPr="00AD393D" w:rsidRDefault="00771F50" w:rsidP="6B92079F">
      <w:pPr>
        <w:pBdr>
          <w:top w:val="nil"/>
          <w:left w:val="nil"/>
          <w:bottom w:val="nil"/>
          <w:right w:val="nil"/>
          <w:between w:val="nil"/>
        </w:pBdr>
        <w:spacing w:after="0" w:line="240" w:lineRule="auto"/>
        <w:jc w:val="both"/>
        <w:rPr>
          <w:rFonts w:ascii="Arial" w:eastAsia="Arial" w:hAnsi="Arial" w:cs="Arial"/>
          <w:color w:val="000000"/>
          <w:sz w:val="24"/>
          <w:szCs w:val="24"/>
        </w:rPr>
      </w:pPr>
    </w:p>
    <w:p w14:paraId="7EBDED1B" w14:textId="09CC3B67" w:rsidR="00960193" w:rsidRPr="00AD393D" w:rsidRDefault="00960193" w:rsidP="005C6112">
      <w:pPr>
        <w:pStyle w:val="Ttulo1"/>
        <w:numPr>
          <w:ilvl w:val="0"/>
          <w:numId w:val="10"/>
        </w:numPr>
        <w:rPr>
          <w:rFonts w:ascii="Arial" w:hAnsi="Arial" w:cs="Arial"/>
          <w:b/>
          <w:bCs/>
          <w:color w:val="auto"/>
          <w:sz w:val="24"/>
          <w:szCs w:val="24"/>
        </w:rPr>
      </w:pPr>
      <w:r w:rsidRPr="00AD393D">
        <w:rPr>
          <w:rFonts w:ascii="Arial" w:hAnsi="Arial" w:cs="Arial"/>
          <w:b/>
          <w:bCs/>
          <w:color w:val="auto"/>
          <w:sz w:val="24"/>
          <w:szCs w:val="24"/>
        </w:rPr>
        <w:t>OBSERVACIONES AL INFORME DE GESTIÓN, MINISTERIO DEL INTERIOR 2023</w:t>
      </w:r>
    </w:p>
    <w:p w14:paraId="2C057DB8" w14:textId="770A33B0" w:rsidR="00960193" w:rsidRPr="00AD393D" w:rsidRDefault="00960193" w:rsidP="00960193">
      <w:pPr>
        <w:pBdr>
          <w:top w:val="nil"/>
          <w:left w:val="nil"/>
          <w:bottom w:val="nil"/>
          <w:right w:val="nil"/>
          <w:between w:val="nil"/>
        </w:pBdr>
        <w:spacing w:after="0" w:line="240" w:lineRule="auto"/>
        <w:jc w:val="both"/>
        <w:rPr>
          <w:rFonts w:ascii="Arial" w:eastAsia="Arial" w:hAnsi="Arial" w:cs="Arial"/>
          <w:color w:val="000000"/>
          <w:sz w:val="24"/>
          <w:szCs w:val="24"/>
        </w:rPr>
      </w:pPr>
    </w:p>
    <w:p w14:paraId="0024B951" w14:textId="158E904C" w:rsidR="6B92079F" w:rsidRPr="00AD393D" w:rsidRDefault="6B92079F" w:rsidP="6B92079F">
      <w:pPr>
        <w:spacing w:after="0"/>
        <w:jc w:val="both"/>
        <w:rPr>
          <w:rFonts w:ascii="Arial" w:eastAsia="Arial" w:hAnsi="Arial" w:cs="Arial"/>
          <w:color w:val="000000" w:themeColor="text1"/>
          <w:sz w:val="24"/>
          <w:szCs w:val="24"/>
        </w:rPr>
      </w:pPr>
      <w:r w:rsidRPr="00AD393D">
        <w:rPr>
          <w:rFonts w:ascii="Arial" w:eastAsia="Arial" w:hAnsi="Arial" w:cs="Arial"/>
          <w:color w:val="000000" w:themeColor="text1"/>
          <w:sz w:val="24"/>
          <w:szCs w:val="24"/>
        </w:rPr>
        <w:t>El Informe de Gestión del Ministerio del Interior recuenta los resultados reportados por sus cuatro áreas organizacionales: el viceministerio para el diálogo social, el viceministerio general del interior, la secretaría general y el despacho del ministro. La metodología usada fue, comparar cuando era posible, los resultados presentados por el Ministerio con fuentes alternas como los informes de gestión presentados al Congreso de este mismo Ministerio en vigencias anteriores, al igual que con la información disponible en el Departamento Nacional de Planeación – DNP, el Ministerio de Hacienda y Crédito Público, los reportes de ejecución presupuestal mensual del Ministerio del Interior y el Decreto de Liquidación Presupuestal 2023 – Decreto No. 2590 de 23 de diciembre de 2022.</w:t>
      </w:r>
    </w:p>
    <w:p w14:paraId="73E1B0F6" w14:textId="054C3B10" w:rsidR="6B92079F" w:rsidRPr="00AD393D" w:rsidRDefault="6B92079F" w:rsidP="6B92079F">
      <w:pPr>
        <w:spacing w:after="0"/>
        <w:jc w:val="both"/>
        <w:rPr>
          <w:rFonts w:ascii="Arial" w:eastAsia="Arial" w:hAnsi="Arial" w:cs="Arial"/>
          <w:color w:val="000000" w:themeColor="text1"/>
          <w:sz w:val="24"/>
          <w:szCs w:val="24"/>
        </w:rPr>
      </w:pPr>
    </w:p>
    <w:p w14:paraId="5BFE379F" w14:textId="1611D14A" w:rsidR="6B92079F" w:rsidRPr="00AD393D" w:rsidRDefault="6B92079F" w:rsidP="6B92079F">
      <w:pPr>
        <w:pBdr>
          <w:top w:val="nil"/>
          <w:left w:val="nil"/>
          <w:bottom w:val="nil"/>
          <w:right w:val="nil"/>
          <w:between w:val="nil"/>
        </w:pBdr>
        <w:spacing w:after="0" w:line="240" w:lineRule="auto"/>
        <w:jc w:val="both"/>
        <w:rPr>
          <w:rFonts w:ascii="Arial" w:eastAsia="Arial" w:hAnsi="Arial" w:cs="Arial"/>
          <w:color w:val="000000" w:themeColor="text1"/>
          <w:sz w:val="24"/>
          <w:szCs w:val="24"/>
        </w:rPr>
      </w:pPr>
      <w:r w:rsidRPr="00AD393D">
        <w:rPr>
          <w:rFonts w:ascii="Arial" w:eastAsia="Arial" w:hAnsi="Arial" w:cs="Arial"/>
          <w:color w:val="000000" w:themeColor="text1"/>
          <w:sz w:val="24"/>
          <w:szCs w:val="24"/>
        </w:rPr>
        <w:t>Es pertinente señalar, que solo una de las subdirecciones presentó algo similar a indicadores, para el caso de los registros comunales donde se reportó un total o meta y un logrado, lo que permite obtener un cociente para medir avance. Algunas otras dependencias presentan una que otra medida de impacto por ejemplo medidas por cantidad de personas impactadas/beneficiadas y por dineros ejecutados. No obstante, no es información clave para evaluar el impacto de los programas implementados y el cumplimiento de las metas propuestas.</w:t>
      </w:r>
    </w:p>
    <w:p w14:paraId="16535970" w14:textId="084F528A" w:rsidR="005C6112" w:rsidRPr="00AD393D" w:rsidRDefault="005C6112" w:rsidP="003C48EA">
      <w:pPr>
        <w:pStyle w:val="Ttulo1"/>
        <w:rPr>
          <w:rFonts w:ascii="Arial" w:hAnsi="Arial" w:cs="Arial"/>
          <w:b/>
          <w:bCs/>
          <w:color w:val="auto"/>
          <w:sz w:val="24"/>
          <w:szCs w:val="24"/>
        </w:rPr>
      </w:pPr>
      <w:r w:rsidRPr="00AD393D">
        <w:rPr>
          <w:rFonts w:ascii="Arial" w:hAnsi="Arial" w:cs="Arial"/>
          <w:b/>
          <w:bCs/>
          <w:color w:val="auto"/>
          <w:sz w:val="24"/>
          <w:szCs w:val="24"/>
        </w:rPr>
        <w:t xml:space="preserve">Viceministerio </w:t>
      </w:r>
      <w:r w:rsidR="003C48EA" w:rsidRPr="00AD393D">
        <w:rPr>
          <w:rFonts w:ascii="Arial" w:hAnsi="Arial" w:cs="Arial"/>
          <w:b/>
          <w:bCs/>
          <w:color w:val="auto"/>
          <w:sz w:val="24"/>
          <w:szCs w:val="24"/>
        </w:rPr>
        <w:t>para el Diálogo Social</w:t>
      </w:r>
    </w:p>
    <w:p w14:paraId="4DBB79E5" w14:textId="77777777" w:rsidR="005C6112" w:rsidRPr="00AD393D" w:rsidRDefault="005C6112" w:rsidP="0723639E">
      <w:pPr>
        <w:spacing w:after="0"/>
        <w:jc w:val="both"/>
        <w:rPr>
          <w:rFonts w:ascii="Arial" w:eastAsia="Arial" w:hAnsi="Arial" w:cs="Arial"/>
          <w:color w:val="000000" w:themeColor="text1"/>
          <w:sz w:val="24"/>
          <w:szCs w:val="24"/>
        </w:rPr>
      </w:pPr>
    </w:p>
    <w:p w14:paraId="7BD185C7" w14:textId="26FB0769" w:rsidR="003C48EA" w:rsidRPr="00AD393D" w:rsidRDefault="00B33260" w:rsidP="0723639E">
      <w:pPr>
        <w:spacing w:after="0"/>
        <w:jc w:val="both"/>
        <w:rPr>
          <w:rFonts w:ascii="Arial" w:eastAsia="Arial" w:hAnsi="Arial" w:cs="Arial"/>
          <w:color w:val="000000" w:themeColor="text1"/>
          <w:sz w:val="24"/>
          <w:szCs w:val="24"/>
        </w:rPr>
      </w:pPr>
      <w:r w:rsidRPr="00AD393D">
        <w:rPr>
          <w:rFonts w:ascii="Arial" w:eastAsia="Arial" w:hAnsi="Arial" w:cs="Arial"/>
          <w:color w:val="000000" w:themeColor="text1"/>
          <w:sz w:val="24"/>
          <w:szCs w:val="24"/>
          <w:u w:val="single"/>
        </w:rPr>
        <w:t xml:space="preserve">La dirección de asuntos para comunidades negras, afrocolombianas, raizales y palenqueras </w:t>
      </w:r>
      <w:r w:rsidRPr="00AD393D">
        <w:rPr>
          <w:rFonts w:ascii="Arial" w:eastAsia="Arial" w:hAnsi="Arial" w:cs="Arial"/>
          <w:color w:val="000000" w:themeColor="text1"/>
          <w:sz w:val="24"/>
          <w:szCs w:val="24"/>
        </w:rPr>
        <w:t>reporta</w:t>
      </w:r>
      <w:r w:rsidR="00167988" w:rsidRPr="00AD393D">
        <w:rPr>
          <w:rFonts w:ascii="Arial" w:eastAsia="Arial" w:hAnsi="Arial" w:cs="Arial"/>
          <w:color w:val="000000" w:themeColor="text1"/>
          <w:sz w:val="24"/>
          <w:szCs w:val="24"/>
        </w:rPr>
        <w:t xml:space="preserve"> la suscripción de un convenio con la Universidad Nacional de Colombia por valor de $12.867.</w:t>
      </w:r>
      <w:bookmarkStart w:id="1" w:name="_Int_KyMabu3b"/>
      <w:r w:rsidR="00167988" w:rsidRPr="00AD393D">
        <w:rPr>
          <w:rFonts w:ascii="Arial" w:eastAsia="Arial" w:hAnsi="Arial" w:cs="Arial"/>
          <w:color w:val="000000" w:themeColor="text1"/>
          <w:sz w:val="24"/>
          <w:szCs w:val="24"/>
        </w:rPr>
        <w:t>455</w:t>
      </w:r>
      <w:r w:rsidR="006456C5" w:rsidRPr="00AD393D">
        <w:rPr>
          <w:rFonts w:ascii="Arial" w:eastAsia="Arial" w:hAnsi="Arial" w:cs="Arial"/>
          <w:color w:val="000000" w:themeColor="text1"/>
          <w:sz w:val="24"/>
          <w:szCs w:val="24"/>
        </w:rPr>
        <w:t>.184.oo</w:t>
      </w:r>
      <w:bookmarkEnd w:id="1"/>
      <w:r w:rsidR="006456C5" w:rsidRPr="00AD393D">
        <w:rPr>
          <w:rFonts w:ascii="Arial" w:eastAsia="Arial" w:hAnsi="Arial" w:cs="Arial"/>
          <w:color w:val="000000" w:themeColor="text1"/>
          <w:sz w:val="24"/>
          <w:szCs w:val="24"/>
        </w:rPr>
        <w:t xml:space="preserve">, al igual que el giro de </w:t>
      </w:r>
      <w:r w:rsidR="00A037F7" w:rsidRPr="00AD393D">
        <w:rPr>
          <w:rFonts w:ascii="Arial" w:eastAsia="Arial" w:hAnsi="Arial" w:cs="Arial"/>
          <w:color w:val="000000" w:themeColor="text1"/>
          <w:sz w:val="24"/>
          <w:szCs w:val="24"/>
        </w:rPr>
        <w:t>$24.</w:t>
      </w:r>
      <w:bookmarkStart w:id="2" w:name="_Int_903CsRmN"/>
      <w:r w:rsidR="00A037F7" w:rsidRPr="00AD393D">
        <w:rPr>
          <w:rFonts w:ascii="Arial" w:eastAsia="Arial" w:hAnsi="Arial" w:cs="Arial"/>
          <w:color w:val="000000" w:themeColor="text1"/>
          <w:sz w:val="24"/>
          <w:szCs w:val="24"/>
        </w:rPr>
        <w:t>000.000.oo</w:t>
      </w:r>
      <w:bookmarkEnd w:id="2"/>
      <w:r w:rsidR="00A037F7" w:rsidRPr="00AD393D">
        <w:rPr>
          <w:rFonts w:ascii="Arial" w:eastAsia="Arial" w:hAnsi="Arial" w:cs="Arial"/>
          <w:color w:val="000000" w:themeColor="text1"/>
          <w:sz w:val="24"/>
          <w:szCs w:val="24"/>
        </w:rPr>
        <w:t xml:space="preserve"> al Fondo Especial de Créditos Educativos de Comunidades Negras – FECECN con el ICETEX</w:t>
      </w:r>
      <w:r w:rsidR="00A22DB5" w:rsidRPr="00AD393D">
        <w:rPr>
          <w:rFonts w:ascii="Arial" w:eastAsia="Arial" w:hAnsi="Arial" w:cs="Arial"/>
          <w:color w:val="000000" w:themeColor="text1"/>
          <w:sz w:val="24"/>
          <w:szCs w:val="24"/>
        </w:rPr>
        <w:t xml:space="preserve">, y la caracterización de 48 comunidades en el marco de la atención a </w:t>
      </w:r>
      <w:r w:rsidR="00A22DB5" w:rsidRPr="00AD393D">
        <w:rPr>
          <w:rFonts w:ascii="Arial" w:eastAsia="Arial" w:hAnsi="Arial" w:cs="Arial"/>
          <w:color w:val="000000" w:themeColor="text1"/>
          <w:sz w:val="24"/>
          <w:szCs w:val="24"/>
        </w:rPr>
        <w:lastRenderedPageBreak/>
        <w:t xml:space="preserve">víctimas de desplazamiento en cumplimiento de la Sentencia T-025 de 2004. </w:t>
      </w:r>
      <w:r w:rsidR="00BB28F3" w:rsidRPr="00AD393D">
        <w:rPr>
          <w:rFonts w:ascii="Arial" w:eastAsia="Arial" w:hAnsi="Arial" w:cs="Arial"/>
          <w:color w:val="000000" w:themeColor="text1"/>
          <w:sz w:val="24"/>
          <w:szCs w:val="24"/>
        </w:rPr>
        <w:t>Esta dirección tenía una apropiación para el 2023 de $55.886.</w:t>
      </w:r>
      <w:bookmarkStart w:id="3" w:name="_Int_rvZG1JMv"/>
      <w:r w:rsidR="00BB28F3" w:rsidRPr="00AD393D">
        <w:rPr>
          <w:rFonts w:ascii="Arial" w:eastAsia="Arial" w:hAnsi="Arial" w:cs="Arial"/>
          <w:color w:val="000000" w:themeColor="text1"/>
          <w:sz w:val="24"/>
          <w:szCs w:val="24"/>
        </w:rPr>
        <w:t>000.000.oo</w:t>
      </w:r>
      <w:bookmarkEnd w:id="3"/>
      <w:r w:rsidR="00BB28F3" w:rsidRPr="00AD393D">
        <w:rPr>
          <w:rFonts w:ascii="Arial" w:eastAsia="Arial" w:hAnsi="Arial" w:cs="Arial"/>
          <w:color w:val="000000" w:themeColor="text1"/>
          <w:sz w:val="24"/>
          <w:szCs w:val="24"/>
        </w:rPr>
        <w:t xml:space="preserve"> </w:t>
      </w:r>
      <w:r w:rsidR="00D036DA" w:rsidRPr="00AD393D">
        <w:rPr>
          <w:rFonts w:ascii="Arial" w:eastAsia="Arial" w:hAnsi="Arial" w:cs="Arial"/>
          <w:color w:val="000000" w:themeColor="text1"/>
          <w:sz w:val="24"/>
          <w:szCs w:val="24"/>
        </w:rPr>
        <w:t xml:space="preserve">y a diciembre de ese mismo año </w:t>
      </w:r>
      <w:r w:rsidR="00B939DC" w:rsidRPr="00AD393D">
        <w:rPr>
          <w:rFonts w:ascii="Arial" w:eastAsia="Arial" w:hAnsi="Arial" w:cs="Arial"/>
          <w:color w:val="000000" w:themeColor="text1"/>
          <w:sz w:val="24"/>
          <w:szCs w:val="24"/>
        </w:rPr>
        <w:t>reportaba una ejecución del 68%.</w:t>
      </w:r>
      <w:r w:rsidR="00057322" w:rsidRPr="00AD393D">
        <w:rPr>
          <w:rFonts w:ascii="Arial" w:eastAsia="Arial" w:hAnsi="Arial" w:cs="Arial"/>
          <w:color w:val="000000" w:themeColor="text1"/>
          <w:sz w:val="24"/>
          <w:szCs w:val="24"/>
        </w:rPr>
        <w:t xml:space="preserve"> Sin embargo, en el caso de los recursos para cumplimiento de la Sentencia T-025 de 2004 se habían apropiado $</w:t>
      </w:r>
      <w:r w:rsidR="00D25182" w:rsidRPr="00AD393D">
        <w:rPr>
          <w:rFonts w:ascii="Arial" w:eastAsia="Arial" w:hAnsi="Arial" w:cs="Arial"/>
          <w:color w:val="000000" w:themeColor="text1"/>
          <w:sz w:val="24"/>
          <w:szCs w:val="24"/>
        </w:rPr>
        <w:t>6.061.</w:t>
      </w:r>
      <w:bookmarkStart w:id="4" w:name="_Int_TitLU4r0"/>
      <w:r w:rsidR="00D25182" w:rsidRPr="00AD393D">
        <w:rPr>
          <w:rFonts w:ascii="Arial" w:eastAsia="Arial" w:hAnsi="Arial" w:cs="Arial"/>
          <w:color w:val="000000" w:themeColor="text1"/>
          <w:sz w:val="24"/>
          <w:szCs w:val="24"/>
        </w:rPr>
        <w:t>000.000.oo</w:t>
      </w:r>
      <w:bookmarkEnd w:id="4"/>
      <w:r w:rsidR="00D25182" w:rsidRPr="00AD393D">
        <w:rPr>
          <w:rFonts w:ascii="Arial" w:eastAsia="Arial" w:hAnsi="Arial" w:cs="Arial"/>
          <w:color w:val="000000" w:themeColor="text1"/>
          <w:sz w:val="24"/>
          <w:szCs w:val="24"/>
        </w:rPr>
        <w:t xml:space="preserve"> para la vigencia 2023 y de estos recursos se reportó una ejecución del 80%.</w:t>
      </w:r>
      <w:r w:rsidR="0003263F" w:rsidRPr="00AD393D">
        <w:rPr>
          <w:rFonts w:ascii="Arial" w:eastAsia="Arial" w:hAnsi="Arial" w:cs="Arial"/>
          <w:color w:val="000000" w:themeColor="text1"/>
          <w:sz w:val="24"/>
          <w:szCs w:val="24"/>
          <w:vertAlign w:val="superscript"/>
        </w:rPr>
        <w:footnoteReference w:id="2"/>
      </w:r>
    </w:p>
    <w:p w14:paraId="40355517" w14:textId="77777777" w:rsidR="00D25182" w:rsidRPr="00AD393D" w:rsidRDefault="00D25182" w:rsidP="0723639E">
      <w:pPr>
        <w:spacing w:after="0"/>
        <w:jc w:val="both"/>
        <w:rPr>
          <w:rFonts w:ascii="Arial" w:eastAsia="Arial" w:hAnsi="Arial" w:cs="Arial"/>
          <w:color w:val="000000" w:themeColor="text1"/>
          <w:sz w:val="24"/>
          <w:szCs w:val="24"/>
        </w:rPr>
      </w:pPr>
    </w:p>
    <w:p w14:paraId="768C90E1" w14:textId="2A5EA592" w:rsidR="003C48EA" w:rsidRPr="00AD393D" w:rsidRDefault="6B92079F" w:rsidP="0723639E">
      <w:pPr>
        <w:spacing w:after="0"/>
        <w:jc w:val="both"/>
        <w:rPr>
          <w:rFonts w:ascii="Arial" w:eastAsia="Arial" w:hAnsi="Arial" w:cs="Arial"/>
          <w:color w:val="000000" w:themeColor="text1"/>
          <w:sz w:val="24"/>
          <w:szCs w:val="24"/>
        </w:rPr>
      </w:pPr>
      <w:r w:rsidRPr="00AD393D">
        <w:rPr>
          <w:rFonts w:ascii="Arial" w:eastAsia="Arial" w:hAnsi="Arial" w:cs="Arial"/>
          <w:color w:val="000000" w:themeColor="text1"/>
          <w:sz w:val="24"/>
          <w:szCs w:val="24"/>
          <w:u w:val="single"/>
        </w:rPr>
        <w:t xml:space="preserve">La dirección de asuntos indígenas, ROM y minorías </w:t>
      </w:r>
      <w:r w:rsidRPr="00AD393D">
        <w:rPr>
          <w:rFonts w:ascii="Arial" w:eastAsia="Arial" w:hAnsi="Arial" w:cs="Arial"/>
          <w:color w:val="000000" w:themeColor="text1"/>
          <w:sz w:val="24"/>
          <w:szCs w:val="24"/>
        </w:rPr>
        <w:t>estableció que convocaron a 5 mesas nacionales con una inversión de $33.300.</w:t>
      </w:r>
      <w:bookmarkStart w:id="5" w:name="_Int_Pgk1LwEp"/>
      <w:r w:rsidRPr="00AD393D">
        <w:rPr>
          <w:rFonts w:ascii="Arial" w:eastAsia="Arial" w:hAnsi="Arial" w:cs="Arial"/>
          <w:color w:val="000000" w:themeColor="text1"/>
          <w:sz w:val="24"/>
          <w:szCs w:val="24"/>
        </w:rPr>
        <w:t>000.000.oo</w:t>
      </w:r>
      <w:bookmarkEnd w:id="5"/>
      <w:r w:rsidRPr="00AD393D">
        <w:rPr>
          <w:rFonts w:ascii="Arial" w:eastAsia="Arial" w:hAnsi="Arial" w:cs="Arial"/>
          <w:color w:val="000000" w:themeColor="text1"/>
          <w:sz w:val="24"/>
          <w:szCs w:val="24"/>
        </w:rPr>
        <w:t>, un total de 28 mesas regionales y locales con una inversión de $2.850.</w:t>
      </w:r>
      <w:bookmarkStart w:id="6" w:name="_Int_TuPRAiBP"/>
      <w:r w:rsidRPr="00AD393D">
        <w:rPr>
          <w:rFonts w:ascii="Arial" w:eastAsia="Arial" w:hAnsi="Arial" w:cs="Arial"/>
          <w:color w:val="000000" w:themeColor="text1"/>
          <w:sz w:val="24"/>
          <w:szCs w:val="24"/>
        </w:rPr>
        <w:t>000.000.oo</w:t>
      </w:r>
      <w:bookmarkEnd w:id="6"/>
      <w:r w:rsidRPr="00AD393D">
        <w:rPr>
          <w:rFonts w:ascii="Arial" w:eastAsia="Arial" w:hAnsi="Arial" w:cs="Arial"/>
          <w:color w:val="000000" w:themeColor="text1"/>
          <w:sz w:val="24"/>
          <w:szCs w:val="24"/>
        </w:rPr>
        <w:t xml:space="preserve"> y 187 espacios de diálogo para resolución de conflictos en 23 departamentos con una inversión de $1.525.000.000.oo. Suscribieron de igual forma, 37 acuerdos con los pueblos indígenas en el marco de las Consultas previas con una inversión de $96.819.797.103.oo en la mesa permanente de concertación. Con la mesa regional amazónica se suscribieron 15 acuerdos y una inversión de $8.150.000.000.oo. Por último, con la Comisión Nacional de Diálogo se suscribieron 10 acuerdos con el pueblo ROM y una inversión de $1.350.000.000.oo.</w:t>
      </w:r>
    </w:p>
    <w:p w14:paraId="7968CC8B" w14:textId="74B30470" w:rsidR="6B92079F" w:rsidRPr="00AD393D" w:rsidRDefault="6B92079F" w:rsidP="6B92079F">
      <w:pPr>
        <w:spacing w:after="0"/>
        <w:jc w:val="both"/>
        <w:rPr>
          <w:rFonts w:ascii="Arial" w:eastAsia="Arial" w:hAnsi="Arial" w:cs="Arial"/>
          <w:color w:val="000000" w:themeColor="text1"/>
          <w:sz w:val="24"/>
          <w:szCs w:val="24"/>
        </w:rPr>
      </w:pPr>
    </w:p>
    <w:p w14:paraId="3FC73AD4" w14:textId="057E5D88" w:rsidR="00D611D8" w:rsidRPr="00AD393D" w:rsidRDefault="6B92079F" w:rsidP="0723639E">
      <w:pPr>
        <w:spacing w:after="0"/>
        <w:jc w:val="both"/>
        <w:rPr>
          <w:rFonts w:ascii="Arial" w:eastAsia="Arial" w:hAnsi="Arial" w:cs="Arial"/>
          <w:color w:val="000000" w:themeColor="text1"/>
          <w:sz w:val="24"/>
          <w:szCs w:val="24"/>
        </w:rPr>
      </w:pPr>
      <w:r w:rsidRPr="00AD393D">
        <w:rPr>
          <w:rFonts w:ascii="Arial" w:eastAsia="Arial" w:hAnsi="Arial" w:cs="Arial"/>
          <w:color w:val="000000" w:themeColor="text1"/>
          <w:sz w:val="24"/>
          <w:szCs w:val="24"/>
        </w:rPr>
        <w:t>Esta dirección invirtió $35.000.000.000.oo en las comunidades indígenas de Pastos y Quillancingas en Nariño, y $13.500.000.000.oo en las comunidades indígenas del Cauca en proyectos de fortalecimiento de sistemas de gobierno propio. Para diciembre de 2023, el primer rubro reportaba una apropiación de $35.000.000.000.oo y una ejecución del 0%, mientras que el segundo tenía un valor de apropiación de $13.500.000.000.oo y una ejecución del 40%.</w:t>
      </w:r>
    </w:p>
    <w:p w14:paraId="692C338E" w14:textId="212C4663" w:rsidR="6B92079F" w:rsidRPr="00AD393D" w:rsidRDefault="6B92079F" w:rsidP="6B92079F">
      <w:pPr>
        <w:spacing w:after="0"/>
        <w:jc w:val="both"/>
        <w:rPr>
          <w:rFonts w:ascii="Arial" w:eastAsia="Arial" w:hAnsi="Arial" w:cs="Arial"/>
          <w:color w:val="000000" w:themeColor="text1"/>
          <w:sz w:val="24"/>
          <w:szCs w:val="24"/>
        </w:rPr>
      </w:pPr>
    </w:p>
    <w:p w14:paraId="0929B254" w14:textId="26A40715" w:rsidR="00D611D8" w:rsidRPr="00AD393D" w:rsidRDefault="6B92079F" w:rsidP="0723639E">
      <w:pPr>
        <w:spacing w:after="0"/>
        <w:jc w:val="both"/>
        <w:rPr>
          <w:rFonts w:ascii="Arial" w:eastAsia="Arial" w:hAnsi="Arial" w:cs="Arial"/>
          <w:color w:val="000000" w:themeColor="text1"/>
          <w:sz w:val="24"/>
          <w:szCs w:val="24"/>
        </w:rPr>
      </w:pPr>
      <w:r w:rsidRPr="00AD393D">
        <w:rPr>
          <w:rFonts w:ascii="Arial" w:eastAsia="Arial" w:hAnsi="Arial" w:cs="Arial"/>
          <w:color w:val="000000" w:themeColor="text1"/>
          <w:sz w:val="24"/>
          <w:szCs w:val="24"/>
        </w:rPr>
        <w:t>Realizaron una inversión de $84.684.979.785.oo en asistencia técnica, administrativa, operativa y financiera para un total de 59 actividades y/o proyectos de las comunidades indígenas. Por último, destinaron una apropiación de $25.000.000.000.oo para el rubro ‘</w:t>
      </w:r>
      <w:r w:rsidRPr="00AD393D">
        <w:rPr>
          <w:rFonts w:ascii="Arial" w:eastAsia="Arial" w:hAnsi="Arial" w:cs="Arial"/>
          <w:i/>
          <w:iCs/>
          <w:color w:val="000000" w:themeColor="text1"/>
          <w:sz w:val="24"/>
          <w:szCs w:val="24"/>
        </w:rPr>
        <w:t>FORTALECIMIENTO DE LA CAPACIDAD ORGANIZATIVA DE LOS PUEBLOS INDÍGENAS EN EL TERRITORIO NACIONAL’</w:t>
      </w:r>
      <w:r w:rsidRPr="00AD393D">
        <w:rPr>
          <w:rFonts w:ascii="Arial" w:eastAsia="Arial" w:hAnsi="Arial" w:cs="Arial"/>
          <w:color w:val="000000" w:themeColor="text1"/>
          <w:sz w:val="24"/>
          <w:szCs w:val="24"/>
        </w:rPr>
        <w:t xml:space="preserve"> beneficiando a 115 pueblos indígenas. Este rubro reportaba un valor de apropiaciones de $27.000.000.000.oo,</w:t>
      </w:r>
      <w:r w:rsidR="00DD5B3B" w:rsidRPr="00AD393D">
        <w:rPr>
          <w:rStyle w:val="Refdenotaalpie"/>
          <w:rFonts w:ascii="Arial" w:eastAsia="Arial" w:hAnsi="Arial" w:cs="Arial"/>
          <w:color w:val="000000" w:themeColor="text1"/>
          <w:sz w:val="24"/>
          <w:szCs w:val="24"/>
        </w:rPr>
        <w:footnoteReference w:id="3"/>
      </w:r>
      <w:r w:rsidRPr="00AD393D">
        <w:rPr>
          <w:rFonts w:ascii="Arial" w:eastAsia="Arial" w:hAnsi="Arial" w:cs="Arial"/>
          <w:color w:val="000000" w:themeColor="text1"/>
          <w:sz w:val="24"/>
          <w:szCs w:val="24"/>
        </w:rPr>
        <w:t xml:space="preserve"> y a diciembre de 2023 reportaba una ejecución del 17%, de igual forma el informe no menciona en qué se usaron los $2.000.000.000.oo restantes.</w:t>
      </w:r>
    </w:p>
    <w:p w14:paraId="2479019E" w14:textId="77777777" w:rsidR="008A0584" w:rsidRPr="00AD393D" w:rsidRDefault="008A0584" w:rsidP="0723639E">
      <w:pPr>
        <w:spacing w:after="0"/>
        <w:jc w:val="both"/>
        <w:rPr>
          <w:rFonts w:ascii="Arial" w:eastAsia="Arial" w:hAnsi="Arial" w:cs="Arial"/>
          <w:color w:val="000000" w:themeColor="text1"/>
          <w:sz w:val="24"/>
          <w:szCs w:val="24"/>
        </w:rPr>
      </w:pPr>
    </w:p>
    <w:p w14:paraId="4BDBC063" w14:textId="5F6B4B86" w:rsidR="00C16777" w:rsidRPr="00AD393D" w:rsidRDefault="6B92079F" w:rsidP="0723639E">
      <w:pPr>
        <w:spacing w:after="0"/>
        <w:jc w:val="both"/>
        <w:rPr>
          <w:rFonts w:ascii="Arial" w:eastAsia="Arial" w:hAnsi="Arial" w:cs="Arial"/>
          <w:color w:val="000000" w:themeColor="text1"/>
          <w:sz w:val="24"/>
          <w:szCs w:val="24"/>
        </w:rPr>
      </w:pPr>
      <w:r w:rsidRPr="00AD393D">
        <w:rPr>
          <w:rFonts w:ascii="Arial" w:eastAsia="Arial" w:hAnsi="Arial" w:cs="Arial"/>
          <w:color w:val="000000" w:themeColor="text1"/>
          <w:sz w:val="24"/>
          <w:szCs w:val="24"/>
          <w:u w:val="single"/>
        </w:rPr>
        <w:lastRenderedPageBreak/>
        <w:t>La dirección nacional de consulta previa</w:t>
      </w:r>
      <w:r w:rsidRPr="00AD393D">
        <w:rPr>
          <w:rFonts w:ascii="Arial" w:eastAsia="Arial" w:hAnsi="Arial" w:cs="Arial"/>
          <w:color w:val="000000" w:themeColor="text1"/>
          <w:sz w:val="24"/>
          <w:szCs w:val="24"/>
        </w:rPr>
        <w:t xml:space="preserve"> indicó que expidieron 2.094 actos administrativos de determinación de procedencia de consulta previa para el Sector Minas y Energía como producto de una inversión de $1.533.</w:t>
      </w:r>
      <w:bookmarkStart w:id="7" w:name="_Int_RwWosCtM"/>
      <w:r w:rsidRPr="00AD393D">
        <w:rPr>
          <w:rFonts w:ascii="Arial" w:eastAsia="Arial" w:hAnsi="Arial" w:cs="Arial"/>
          <w:color w:val="000000" w:themeColor="text1"/>
          <w:sz w:val="24"/>
          <w:szCs w:val="24"/>
        </w:rPr>
        <w:t>748.214.oo</w:t>
      </w:r>
      <w:bookmarkEnd w:id="7"/>
      <w:r w:rsidRPr="00AD393D">
        <w:rPr>
          <w:rFonts w:ascii="Arial" w:eastAsia="Arial" w:hAnsi="Arial" w:cs="Arial"/>
          <w:color w:val="000000" w:themeColor="text1"/>
          <w:sz w:val="24"/>
          <w:szCs w:val="24"/>
        </w:rPr>
        <w:t>, de igual forma tradujeron la Sentencia T-302 de 2017 a la lengua wuayunaiki y socializaron este documento con las autoridades Wayuu en la Guajira. Evacuaron un total de 2.000 PQRS y estructuraron el proyecto de inversión “Escuela de Formación en Consulta Previa” con una inversión de $1.847.000.000.oo. Esta dirección tenía una apropiación de $51.545.000.000.oo para la vigencia de 2023 y a diciembre de ese mismo año reportaba una ejecución del 66%.</w:t>
      </w:r>
    </w:p>
    <w:p w14:paraId="1E836C3B" w14:textId="77777777" w:rsidR="00C16777" w:rsidRPr="00AD393D" w:rsidRDefault="00C16777" w:rsidP="0723639E">
      <w:pPr>
        <w:spacing w:after="0"/>
        <w:jc w:val="both"/>
        <w:rPr>
          <w:rFonts w:ascii="Arial" w:eastAsia="Arial" w:hAnsi="Arial" w:cs="Arial"/>
          <w:color w:val="000000" w:themeColor="text1"/>
          <w:sz w:val="24"/>
          <w:szCs w:val="24"/>
        </w:rPr>
      </w:pPr>
    </w:p>
    <w:p w14:paraId="051F0E02" w14:textId="54D2BC2B" w:rsidR="002D18FE" w:rsidRPr="00AD393D" w:rsidRDefault="6B92079F" w:rsidP="0723639E">
      <w:pPr>
        <w:spacing w:after="0"/>
        <w:jc w:val="both"/>
        <w:rPr>
          <w:rFonts w:ascii="Arial" w:eastAsia="Arial" w:hAnsi="Arial" w:cs="Arial"/>
          <w:color w:val="000000" w:themeColor="text1"/>
          <w:sz w:val="24"/>
          <w:szCs w:val="24"/>
        </w:rPr>
      </w:pPr>
      <w:r w:rsidRPr="00AD393D">
        <w:rPr>
          <w:rFonts w:ascii="Arial" w:eastAsia="Arial" w:hAnsi="Arial" w:cs="Arial"/>
          <w:color w:val="000000" w:themeColor="text1"/>
          <w:sz w:val="24"/>
          <w:szCs w:val="24"/>
          <w:u w:val="single"/>
        </w:rPr>
        <w:t>La dirección de asuntos religiosos</w:t>
      </w:r>
      <w:r w:rsidRPr="00AD393D">
        <w:rPr>
          <w:rFonts w:ascii="Arial" w:eastAsia="Arial" w:hAnsi="Arial" w:cs="Arial"/>
          <w:color w:val="000000" w:themeColor="text1"/>
          <w:sz w:val="24"/>
          <w:szCs w:val="24"/>
        </w:rPr>
        <w:t xml:space="preserve"> reportó que entregó 1.282 personerías jurídicas especiales nuevas y 71 personerías jurídicas extendidas para entidades religiosas. Capacitaron 3.234 personas y caracterizaron entidades religiosas en 7 departamentos. Realizaron inversiones por $274.</w:t>
      </w:r>
      <w:bookmarkStart w:id="8" w:name="_Int_rELN5TWA"/>
      <w:r w:rsidRPr="00AD393D">
        <w:rPr>
          <w:rFonts w:ascii="Arial" w:eastAsia="Arial" w:hAnsi="Arial" w:cs="Arial"/>
          <w:color w:val="000000" w:themeColor="text1"/>
          <w:sz w:val="24"/>
          <w:szCs w:val="24"/>
        </w:rPr>
        <w:t>000.000.oo</w:t>
      </w:r>
      <w:bookmarkEnd w:id="8"/>
      <w:r w:rsidRPr="00AD393D">
        <w:rPr>
          <w:rFonts w:ascii="Arial" w:eastAsia="Arial" w:hAnsi="Arial" w:cs="Arial"/>
          <w:color w:val="000000" w:themeColor="text1"/>
          <w:sz w:val="24"/>
          <w:szCs w:val="24"/>
        </w:rPr>
        <w:t xml:space="preserve"> y $127.000.000.oo para 24 iniciativas del Banco de Iniciativas Interreligiosas (BIIR). En el documento </w:t>
      </w:r>
      <w:r w:rsidRPr="00AD393D">
        <w:rPr>
          <w:rFonts w:ascii="Arial" w:eastAsia="Arial" w:hAnsi="Arial" w:cs="Arial"/>
          <w:i/>
          <w:iCs/>
          <w:color w:val="000000" w:themeColor="text1"/>
          <w:sz w:val="24"/>
          <w:szCs w:val="24"/>
        </w:rPr>
        <w:t xml:space="preserve">Informe al Congreso de la República 2022-2023 </w:t>
      </w:r>
      <w:r w:rsidRPr="00AD393D">
        <w:rPr>
          <w:rFonts w:ascii="Arial" w:eastAsia="Arial" w:hAnsi="Arial" w:cs="Arial"/>
          <w:color w:val="000000" w:themeColor="text1"/>
          <w:sz w:val="24"/>
          <w:szCs w:val="24"/>
        </w:rPr>
        <w:t>establecen que el BIIR en 2023 fortaleció económicamente a 48 iniciativas religiosas, por lo que existe una discrepancia entre los documentos analizados</w:t>
      </w:r>
      <w:r w:rsidR="00513527" w:rsidRPr="00AD393D">
        <w:rPr>
          <w:rStyle w:val="Refdenotaalpie"/>
          <w:rFonts w:ascii="Arial" w:eastAsia="Arial" w:hAnsi="Arial" w:cs="Arial"/>
          <w:color w:val="000000" w:themeColor="text1"/>
          <w:sz w:val="24"/>
          <w:szCs w:val="24"/>
        </w:rPr>
        <w:footnoteReference w:id="4"/>
      </w:r>
      <w:r w:rsidRPr="00AD393D">
        <w:rPr>
          <w:rFonts w:ascii="Arial" w:eastAsia="Arial" w:hAnsi="Arial" w:cs="Arial"/>
          <w:color w:val="000000" w:themeColor="text1"/>
          <w:sz w:val="24"/>
          <w:szCs w:val="24"/>
        </w:rPr>
        <w:t>. Esta dirección tenía una apropiación de $3.275.</w:t>
      </w:r>
      <w:bookmarkStart w:id="9" w:name="_Int_8AxtcIdG"/>
      <w:r w:rsidRPr="00AD393D">
        <w:rPr>
          <w:rFonts w:ascii="Arial" w:eastAsia="Arial" w:hAnsi="Arial" w:cs="Arial"/>
          <w:color w:val="000000" w:themeColor="text1"/>
          <w:sz w:val="24"/>
          <w:szCs w:val="24"/>
        </w:rPr>
        <w:t>000.000.oo</w:t>
      </w:r>
      <w:bookmarkEnd w:id="9"/>
      <w:r w:rsidRPr="00AD393D">
        <w:rPr>
          <w:rFonts w:ascii="Arial" w:eastAsia="Arial" w:hAnsi="Arial" w:cs="Arial"/>
          <w:color w:val="000000" w:themeColor="text1"/>
          <w:sz w:val="24"/>
          <w:szCs w:val="24"/>
        </w:rPr>
        <w:t xml:space="preserve"> para 2023 y a diciembre de ese año reportaba una ejecución del 53%.</w:t>
      </w:r>
    </w:p>
    <w:p w14:paraId="270F9713" w14:textId="77777777" w:rsidR="00E10022" w:rsidRPr="00AD393D" w:rsidRDefault="00E10022" w:rsidP="0723639E">
      <w:pPr>
        <w:spacing w:after="0"/>
        <w:jc w:val="both"/>
        <w:rPr>
          <w:rFonts w:ascii="Arial" w:eastAsia="Arial" w:hAnsi="Arial" w:cs="Arial"/>
          <w:color w:val="000000" w:themeColor="text1"/>
          <w:sz w:val="24"/>
          <w:szCs w:val="24"/>
        </w:rPr>
      </w:pPr>
    </w:p>
    <w:p w14:paraId="15A0A1A5" w14:textId="58ECC744" w:rsidR="00E10022" w:rsidRPr="00AD393D" w:rsidRDefault="6B92079F" w:rsidP="0723639E">
      <w:pPr>
        <w:spacing w:after="0"/>
        <w:jc w:val="both"/>
        <w:rPr>
          <w:rFonts w:ascii="Arial" w:eastAsia="Arial" w:hAnsi="Arial" w:cs="Arial"/>
          <w:color w:val="000000" w:themeColor="text1"/>
          <w:sz w:val="24"/>
          <w:szCs w:val="24"/>
        </w:rPr>
      </w:pPr>
      <w:r w:rsidRPr="00AD393D">
        <w:rPr>
          <w:rFonts w:ascii="Arial" w:eastAsia="Arial" w:hAnsi="Arial" w:cs="Arial"/>
          <w:color w:val="000000" w:themeColor="text1"/>
          <w:sz w:val="24"/>
          <w:szCs w:val="24"/>
          <w:u w:val="single"/>
        </w:rPr>
        <w:t>La dirección de derechos humanos realizó</w:t>
      </w:r>
      <w:r w:rsidRPr="00AD393D">
        <w:rPr>
          <w:rFonts w:ascii="Arial" w:eastAsia="Arial" w:hAnsi="Arial" w:cs="Arial"/>
          <w:color w:val="000000" w:themeColor="text1"/>
          <w:sz w:val="24"/>
          <w:szCs w:val="24"/>
        </w:rPr>
        <w:t xml:space="preserve"> 42 planes de acción territoriales en 42 municipios de 6 departamentos y 2 regiones además suscribieron 5 pactos contra la estigmatización y realizaron 4 talleres de autocuidado con organizaciones y personas defensoras de derechos humanos en el Cauca y Nariño. Formularon 19 protocolos de protección de territorios rurales con organizaciones de 8 departamentos, 37 planes de prevención y autoprotección y 21 jornadas de asesoría para la implementación de los promotores comunitarios de paz. Lanzaron la campaña “Paz Sin Estigmas” y avanzaron en la construcción del Plan de acción del Programa Integral de Garantías para Mujeres Lideresas y Defensoras. Realizaron 23 espacios con sectores LGBTIQ+ en 9 departamentos y apoyaron 80 entidades territoriales en la incorporación de la política pública LGBTIQ+ en los instrumentos de gestión territorial. Se apoyó la postulación de 28 departamentos,208 municipios y 1000 organizaciones para el Banco de Iniciativas de Derechos Humanos, por un valor de $30.465.000.000.oo. Esta dirección tenía una apropiación de $62.776.</w:t>
      </w:r>
      <w:bookmarkStart w:id="10" w:name="_Int_ZggSpazL"/>
      <w:r w:rsidRPr="00AD393D">
        <w:rPr>
          <w:rFonts w:ascii="Arial" w:eastAsia="Arial" w:hAnsi="Arial" w:cs="Arial"/>
          <w:color w:val="000000" w:themeColor="text1"/>
          <w:sz w:val="24"/>
          <w:szCs w:val="24"/>
        </w:rPr>
        <w:t>000.000.oo</w:t>
      </w:r>
      <w:bookmarkEnd w:id="10"/>
      <w:r w:rsidRPr="00AD393D">
        <w:rPr>
          <w:rFonts w:ascii="Arial" w:eastAsia="Arial" w:hAnsi="Arial" w:cs="Arial"/>
          <w:color w:val="000000" w:themeColor="text1"/>
          <w:sz w:val="24"/>
          <w:szCs w:val="24"/>
        </w:rPr>
        <w:t xml:space="preserve"> y una ejecución del 61% a diciembre de 2023.</w:t>
      </w:r>
    </w:p>
    <w:p w14:paraId="0556BE8F" w14:textId="77777777" w:rsidR="002931C7" w:rsidRPr="00AD393D" w:rsidRDefault="002931C7" w:rsidP="0723639E">
      <w:pPr>
        <w:spacing w:after="0"/>
        <w:jc w:val="both"/>
        <w:rPr>
          <w:rFonts w:ascii="Arial" w:eastAsia="Arial" w:hAnsi="Arial" w:cs="Arial"/>
          <w:color w:val="000000" w:themeColor="text1"/>
          <w:sz w:val="24"/>
          <w:szCs w:val="24"/>
        </w:rPr>
      </w:pPr>
    </w:p>
    <w:p w14:paraId="6832A550" w14:textId="43609353" w:rsidR="002931C7" w:rsidRPr="00AD393D" w:rsidRDefault="002931C7" w:rsidP="002931C7">
      <w:pPr>
        <w:pStyle w:val="Ttulo1"/>
        <w:rPr>
          <w:rFonts w:ascii="Arial" w:hAnsi="Arial" w:cs="Arial"/>
          <w:b/>
          <w:bCs/>
          <w:color w:val="auto"/>
          <w:sz w:val="24"/>
          <w:szCs w:val="24"/>
        </w:rPr>
      </w:pPr>
      <w:r w:rsidRPr="00AD393D">
        <w:rPr>
          <w:rFonts w:ascii="Arial" w:hAnsi="Arial" w:cs="Arial"/>
          <w:b/>
          <w:bCs/>
          <w:color w:val="auto"/>
          <w:sz w:val="24"/>
          <w:szCs w:val="24"/>
        </w:rPr>
        <w:lastRenderedPageBreak/>
        <w:t>Viceministerio general del Interior</w:t>
      </w:r>
    </w:p>
    <w:p w14:paraId="3E72A29B" w14:textId="77777777" w:rsidR="00244E90" w:rsidRPr="00AD393D" w:rsidRDefault="00244E90" w:rsidP="0723639E">
      <w:pPr>
        <w:spacing w:after="0"/>
        <w:jc w:val="both"/>
        <w:rPr>
          <w:rFonts w:ascii="Arial" w:eastAsia="Arial" w:hAnsi="Arial" w:cs="Arial"/>
          <w:color w:val="000000" w:themeColor="text1"/>
          <w:sz w:val="24"/>
          <w:szCs w:val="24"/>
        </w:rPr>
      </w:pPr>
    </w:p>
    <w:p w14:paraId="1DEAD239" w14:textId="1870107C" w:rsidR="00696F40" w:rsidRPr="00AD393D" w:rsidRDefault="00AD1963" w:rsidP="00696F40">
      <w:pPr>
        <w:spacing w:after="0"/>
        <w:jc w:val="both"/>
        <w:rPr>
          <w:rFonts w:ascii="Arial" w:eastAsia="Arial" w:hAnsi="Arial" w:cs="Arial"/>
          <w:color w:val="000000" w:themeColor="text1"/>
          <w:sz w:val="24"/>
          <w:szCs w:val="24"/>
        </w:rPr>
      </w:pPr>
      <w:r w:rsidRPr="00AD393D">
        <w:rPr>
          <w:rFonts w:ascii="Arial" w:eastAsia="Arial" w:hAnsi="Arial" w:cs="Arial"/>
          <w:color w:val="000000" w:themeColor="text1"/>
          <w:sz w:val="24"/>
          <w:szCs w:val="24"/>
          <w:u w:val="single"/>
        </w:rPr>
        <w:t xml:space="preserve">La dirección de asuntos legislativos </w:t>
      </w:r>
      <w:r w:rsidR="00FE15D5" w:rsidRPr="00AD393D">
        <w:rPr>
          <w:rFonts w:ascii="Arial" w:eastAsia="Arial" w:hAnsi="Arial" w:cs="Arial"/>
          <w:color w:val="000000" w:themeColor="text1"/>
          <w:sz w:val="24"/>
          <w:szCs w:val="24"/>
        </w:rPr>
        <w:t>reportó que logró la aprobación de 22 Leyes y 2 reformas a la Constitución</w:t>
      </w:r>
      <w:r w:rsidR="00013112" w:rsidRPr="00AD393D">
        <w:rPr>
          <w:rFonts w:ascii="Arial" w:eastAsia="Arial" w:hAnsi="Arial" w:cs="Arial"/>
          <w:color w:val="000000" w:themeColor="text1"/>
          <w:sz w:val="24"/>
          <w:szCs w:val="24"/>
        </w:rPr>
        <w:t>: Campesino sujeto de derechos y la Jurisdicción Agraria y Rural</w:t>
      </w:r>
      <w:r w:rsidR="00E652AF" w:rsidRPr="00AD393D">
        <w:rPr>
          <w:rFonts w:ascii="Arial" w:eastAsia="Arial" w:hAnsi="Arial" w:cs="Arial"/>
          <w:color w:val="000000" w:themeColor="text1"/>
          <w:sz w:val="24"/>
          <w:szCs w:val="24"/>
        </w:rPr>
        <w:t xml:space="preserve"> como Actos Legislativos y la Ley de Plan Nacional de Desarrollo</w:t>
      </w:r>
      <w:r w:rsidR="00F617AB" w:rsidRPr="00AD393D">
        <w:rPr>
          <w:rFonts w:ascii="Arial" w:eastAsia="Arial" w:hAnsi="Arial" w:cs="Arial"/>
          <w:color w:val="000000" w:themeColor="text1"/>
          <w:sz w:val="24"/>
          <w:szCs w:val="24"/>
        </w:rPr>
        <w:t xml:space="preserve">. </w:t>
      </w:r>
      <w:r w:rsidR="00F6243F" w:rsidRPr="00AD393D">
        <w:rPr>
          <w:rFonts w:ascii="Arial" w:eastAsia="Arial" w:hAnsi="Arial" w:cs="Arial"/>
          <w:color w:val="000000" w:themeColor="text1"/>
          <w:sz w:val="24"/>
          <w:szCs w:val="24"/>
        </w:rPr>
        <w:t xml:space="preserve">Esa dirección </w:t>
      </w:r>
      <w:r w:rsidR="00F7097B" w:rsidRPr="00AD393D">
        <w:rPr>
          <w:rFonts w:ascii="Arial" w:eastAsia="Arial" w:hAnsi="Arial" w:cs="Arial"/>
          <w:color w:val="000000" w:themeColor="text1"/>
          <w:sz w:val="24"/>
          <w:szCs w:val="24"/>
        </w:rPr>
        <w:t>tenía una apropiación de $3.655.000.000.oo y para diciembre de 2023 reportaba una ejecución del 44%.</w:t>
      </w:r>
      <w:r w:rsidR="00696F40" w:rsidRPr="00AD393D">
        <w:rPr>
          <w:rFonts w:ascii="Arial" w:eastAsia="Arial" w:hAnsi="Arial" w:cs="Arial"/>
          <w:color w:val="000000" w:themeColor="text1"/>
          <w:sz w:val="24"/>
          <w:szCs w:val="24"/>
        </w:rPr>
        <w:t xml:space="preserve"> En el reporte</w:t>
      </w:r>
      <w:r w:rsidR="0026225F" w:rsidRPr="00AD393D">
        <w:rPr>
          <w:rFonts w:ascii="Arial" w:eastAsia="Arial" w:hAnsi="Arial" w:cs="Arial"/>
          <w:color w:val="000000" w:themeColor="text1"/>
          <w:sz w:val="24"/>
          <w:szCs w:val="24"/>
        </w:rPr>
        <w:t xml:space="preserve"> allegado</w:t>
      </w:r>
      <w:r w:rsidR="00696F40" w:rsidRPr="00AD393D">
        <w:rPr>
          <w:rFonts w:ascii="Arial" w:eastAsia="Arial" w:hAnsi="Arial" w:cs="Arial"/>
          <w:color w:val="000000" w:themeColor="text1"/>
          <w:sz w:val="24"/>
          <w:szCs w:val="24"/>
        </w:rPr>
        <w:t xml:space="preserve"> no se mencionaron las respuestas a los derechos de petición relacionados con las actividades de control político, citaciones e invitaciones a las comisiones y plenarias de las cámaras</w:t>
      </w:r>
      <w:r w:rsidR="0026225F" w:rsidRPr="00AD393D">
        <w:rPr>
          <w:rFonts w:ascii="Arial" w:eastAsia="Arial" w:hAnsi="Arial" w:cs="Arial"/>
          <w:color w:val="000000" w:themeColor="text1"/>
          <w:sz w:val="24"/>
          <w:szCs w:val="24"/>
        </w:rPr>
        <w:t>, sin embargo</w:t>
      </w:r>
      <w:r w:rsidR="00616627" w:rsidRPr="00AD393D">
        <w:rPr>
          <w:rFonts w:ascii="Arial" w:eastAsia="Arial" w:hAnsi="Arial" w:cs="Arial"/>
          <w:color w:val="000000" w:themeColor="text1"/>
          <w:sz w:val="24"/>
          <w:szCs w:val="24"/>
        </w:rPr>
        <w:t>,</w:t>
      </w:r>
      <w:r w:rsidR="0026225F" w:rsidRPr="00AD393D">
        <w:rPr>
          <w:rFonts w:ascii="Arial" w:eastAsia="Arial" w:hAnsi="Arial" w:cs="Arial"/>
          <w:color w:val="000000" w:themeColor="text1"/>
          <w:sz w:val="24"/>
          <w:szCs w:val="24"/>
        </w:rPr>
        <w:t xml:space="preserve"> si </w:t>
      </w:r>
      <w:r w:rsidR="00616627" w:rsidRPr="00AD393D">
        <w:rPr>
          <w:rFonts w:ascii="Arial" w:eastAsia="Arial" w:hAnsi="Arial" w:cs="Arial"/>
          <w:color w:val="000000" w:themeColor="text1"/>
          <w:sz w:val="24"/>
          <w:szCs w:val="24"/>
        </w:rPr>
        <w:t>se encontraban</w:t>
      </w:r>
      <w:r w:rsidR="0026225F" w:rsidRPr="00AD393D">
        <w:rPr>
          <w:rFonts w:ascii="Arial" w:eastAsia="Arial" w:hAnsi="Arial" w:cs="Arial"/>
          <w:color w:val="000000" w:themeColor="text1"/>
          <w:sz w:val="24"/>
          <w:szCs w:val="24"/>
        </w:rPr>
        <w:t xml:space="preserve"> en el </w:t>
      </w:r>
      <w:r w:rsidR="00095EE2" w:rsidRPr="00AD393D">
        <w:rPr>
          <w:rFonts w:ascii="Arial" w:eastAsia="Arial" w:hAnsi="Arial" w:cs="Arial"/>
          <w:color w:val="000000" w:themeColor="text1"/>
          <w:sz w:val="24"/>
          <w:szCs w:val="24"/>
        </w:rPr>
        <w:t xml:space="preserve">documento </w:t>
      </w:r>
      <w:r w:rsidR="002124CA" w:rsidRPr="00AD393D">
        <w:rPr>
          <w:rFonts w:ascii="Arial" w:eastAsia="Arial" w:hAnsi="Arial" w:cs="Arial"/>
          <w:i/>
          <w:iCs/>
          <w:color w:val="000000" w:themeColor="text1"/>
          <w:sz w:val="24"/>
          <w:szCs w:val="24"/>
        </w:rPr>
        <w:t>Informe al Congreso de la República 2022-2023</w:t>
      </w:r>
      <w:r w:rsidR="002124CA" w:rsidRPr="00AD393D">
        <w:rPr>
          <w:rStyle w:val="Refdenotaalpie"/>
          <w:rFonts w:ascii="Arial" w:eastAsia="Arial" w:hAnsi="Arial" w:cs="Arial"/>
          <w:i/>
          <w:iCs/>
          <w:color w:val="000000" w:themeColor="text1"/>
          <w:sz w:val="24"/>
          <w:szCs w:val="24"/>
        </w:rPr>
        <w:footnoteReference w:id="5"/>
      </w:r>
      <w:r w:rsidR="002124CA" w:rsidRPr="00AD393D">
        <w:rPr>
          <w:rFonts w:ascii="Arial" w:eastAsia="Arial" w:hAnsi="Arial" w:cs="Arial"/>
          <w:color w:val="000000" w:themeColor="text1"/>
          <w:sz w:val="24"/>
          <w:szCs w:val="24"/>
        </w:rPr>
        <w:t>.</w:t>
      </w:r>
    </w:p>
    <w:p w14:paraId="5860D409" w14:textId="77777777" w:rsidR="00F7097B" w:rsidRPr="00AD393D" w:rsidRDefault="00F7097B" w:rsidP="0723639E">
      <w:pPr>
        <w:spacing w:after="0"/>
        <w:jc w:val="both"/>
        <w:rPr>
          <w:rFonts w:ascii="Arial" w:eastAsia="Arial" w:hAnsi="Arial" w:cs="Arial"/>
          <w:color w:val="000000" w:themeColor="text1"/>
          <w:sz w:val="24"/>
          <w:szCs w:val="24"/>
        </w:rPr>
      </w:pPr>
    </w:p>
    <w:p w14:paraId="19726688" w14:textId="7C5F787D" w:rsidR="00F7097B" w:rsidRPr="00AD393D" w:rsidRDefault="6B92079F" w:rsidP="0723639E">
      <w:pPr>
        <w:spacing w:after="0"/>
        <w:jc w:val="both"/>
        <w:rPr>
          <w:rFonts w:ascii="Arial" w:eastAsia="Arial" w:hAnsi="Arial" w:cs="Arial"/>
          <w:color w:val="000000" w:themeColor="text1"/>
          <w:sz w:val="24"/>
          <w:szCs w:val="24"/>
        </w:rPr>
      </w:pPr>
      <w:r w:rsidRPr="00AD393D">
        <w:rPr>
          <w:rFonts w:ascii="Arial" w:eastAsia="Arial" w:hAnsi="Arial" w:cs="Arial"/>
          <w:color w:val="000000" w:themeColor="text1"/>
          <w:sz w:val="24"/>
          <w:szCs w:val="24"/>
          <w:u w:val="single"/>
        </w:rPr>
        <w:t>La dirección para la democracia, la participación ciudadana y la acción comunal</w:t>
      </w:r>
      <w:r w:rsidRPr="00AD393D">
        <w:rPr>
          <w:rFonts w:ascii="Arial" w:eastAsia="Arial" w:hAnsi="Arial" w:cs="Arial"/>
          <w:color w:val="000000" w:themeColor="text1"/>
          <w:sz w:val="24"/>
          <w:szCs w:val="24"/>
        </w:rPr>
        <w:t xml:space="preserve"> realizó una asamblea nacional popular donde participaron 4.500 personas y una inversión de $4.000.000.000.oo, también reportaron 6.889 iniciativas en el banco de proyectos por una inversión de $63.177.197.522.oo. Para el programa Jóvenes en Paz en Buenaventura se destinaron $ 1.449.474.000.oo para 100 jóvenes. Lanzamiento de la red de mujeres con discapacidad la creación de 10.447 Registros Únicos Comunales a nivel nacional, con un cubrimiento de 67.8% del total de Juntas de acción comunal, realizaron con el MADR el primer encuentro nacional de jóvenes campesinos y rurales en Palmira- Valle del Cauca, y la semana de la participación ciudadana en Zipaquirá. Esta dirección tenía una apropiación de $104.634.</w:t>
      </w:r>
      <w:bookmarkStart w:id="11" w:name="_Int_z3x6LXvz"/>
      <w:r w:rsidRPr="00AD393D">
        <w:rPr>
          <w:rFonts w:ascii="Arial" w:eastAsia="Arial" w:hAnsi="Arial" w:cs="Arial"/>
          <w:color w:val="000000" w:themeColor="text1"/>
          <w:sz w:val="24"/>
          <w:szCs w:val="24"/>
        </w:rPr>
        <w:t>000.000.oo</w:t>
      </w:r>
      <w:bookmarkEnd w:id="11"/>
      <w:r w:rsidRPr="00AD393D">
        <w:rPr>
          <w:rFonts w:ascii="Arial" w:eastAsia="Arial" w:hAnsi="Arial" w:cs="Arial"/>
          <w:color w:val="000000" w:themeColor="text1"/>
          <w:sz w:val="24"/>
          <w:szCs w:val="24"/>
        </w:rPr>
        <w:t xml:space="preserve"> para la vigencia 2023 y a diciembre de ese año reportó ejecución del 68%.</w:t>
      </w:r>
    </w:p>
    <w:p w14:paraId="7584E91C" w14:textId="77777777" w:rsidR="00696F40" w:rsidRPr="00AD393D" w:rsidRDefault="00696F40" w:rsidP="0723639E">
      <w:pPr>
        <w:spacing w:after="0"/>
        <w:jc w:val="both"/>
        <w:rPr>
          <w:rFonts w:ascii="Arial" w:eastAsia="Arial" w:hAnsi="Arial" w:cs="Arial"/>
          <w:color w:val="000000" w:themeColor="text1"/>
          <w:sz w:val="24"/>
          <w:szCs w:val="24"/>
        </w:rPr>
      </w:pPr>
    </w:p>
    <w:p w14:paraId="33E731B5" w14:textId="74F2B679" w:rsidR="000963BB" w:rsidRPr="00AD393D" w:rsidRDefault="6B92079F" w:rsidP="0723639E">
      <w:pPr>
        <w:spacing w:after="0"/>
        <w:jc w:val="both"/>
        <w:rPr>
          <w:rFonts w:ascii="Arial" w:eastAsia="Arial" w:hAnsi="Arial" w:cs="Arial"/>
          <w:color w:val="000000" w:themeColor="text1"/>
          <w:sz w:val="24"/>
          <w:szCs w:val="24"/>
        </w:rPr>
      </w:pPr>
      <w:r w:rsidRPr="00AD393D">
        <w:rPr>
          <w:rFonts w:ascii="Arial" w:eastAsia="Arial" w:hAnsi="Arial" w:cs="Arial"/>
          <w:color w:val="000000" w:themeColor="text1"/>
          <w:sz w:val="24"/>
          <w:szCs w:val="24"/>
          <w:u w:val="single"/>
        </w:rPr>
        <w:t xml:space="preserve">La dirección de seguridad, convivencia ciudadana y gobierno </w:t>
      </w:r>
      <w:r w:rsidRPr="00AD393D">
        <w:rPr>
          <w:rFonts w:ascii="Arial" w:eastAsia="Arial" w:hAnsi="Arial" w:cs="Arial"/>
          <w:color w:val="000000" w:themeColor="text1"/>
          <w:sz w:val="24"/>
          <w:szCs w:val="24"/>
        </w:rPr>
        <w:t xml:space="preserve">formuló la política pública de convivencia y seguridad para la vida al igual que el Sistema Nacional de Convivencia para la Vida. Atendieron 39 alertas tempranas para 706 municipios, realizaron 225 talleres regionales de seguimiento por la vida y 64 sesiones de seguimiento a las alertas tempranas. Si bien en el documento </w:t>
      </w:r>
      <w:r w:rsidRPr="00AD393D">
        <w:rPr>
          <w:rFonts w:ascii="Arial" w:eastAsia="Arial" w:hAnsi="Arial" w:cs="Arial"/>
          <w:i/>
          <w:iCs/>
          <w:color w:val="000000" w:themeColor="text1"/>
          <w:sz w:val="24"/>
          <w:szCs w:val="24"/>
        </w:rPr>
        <w:t xml:space="preserve">Informe al Congreso de la República 2022 – 2023, </w:t>
      </w:r>
      <w:r w:rsidRPr="00AD393D">
        <w:rPr>
          <w:rFonts w:ascii="Arial" w:eastAsia="Arial" w:hAnsi="Arial" w:cs="Arial"/>
          <w:color w:val="000000" w:themeColor="text1"/>
          <w:sz w:val="24"/>
          <w:szCs w:val="24"/>
        </w:rPr>
        <w:t>esta dirección resalta que hizo seguimiento a todas las alertas tempranas entre julio de 2022 hasta junio de 2023 a través de la CIPRAT</w:t>
      </w:r>
      <w:r w:rsidR="00E063E0" w:rsidRPr="00AD393D">
        <w:rPr>
          <w:rStyle w:val="Refdenotaalpie"/>
          <w:rFonts w:ascii="Arial" w:eastAsia="Arial" w:hAnsi="Arial" w:cs="Arial"/>
          <w:color w:val="000000" w:themeColor="text1"/>
          <w:sz w:val="24"/>
          <w:szCs w:val="24"/>
        </w:rPr>
        <w:footnoteReference w:id="6"/>
      </w:r>
      <w:r w:rsidRPr="00AD393D">
        <w:rPr>
          <w:rFonts w:ascii="Arial" w:eastAsia="Arial" w:hAnsi="Arial" w:cs="Arial"/>
          <w:color w:val="000000" w:themeColor="text1"/>
          <w:sz w:val="24"/>
          <w:szCs w:val="24"/>
        </w:rPr>
        <w:t xml:space="preserve">, no se mencionan los seguimientos o reportes para el segundo semestre del 2023 al igual que no se incluyen las acciones que realizó el Ministerio para atender esas alertas además de las sesiones de seguimiento. Esta dirección </w:t>
      </w:r>
      <w:r w:rsidRPr="00AD393D">
        <w:rPr>
          <w:rFonts w:ascii="Arial" w:eastAsia="Arial" w:hAnsi="Arial" w:cs="Arial"/>
          <w:color w:val="000000" w:themeColor="text1"/>
          <w:sz w:val="24"/>
          <w:szCs w:val="24"/>
        </w:rPr>
        <w:lastRenderedPageBreak/>
        <w:t>contaba con una apropiación $32.328.</w:t>
      </w:r>
      <w:bookmarkStart w:id="12" w:name="_Int_md3o2ACR"/>
      <w:r w:rsidRPr="00AD393D">
        <w:rPr>
          <w:rFonts w:ascii="Arial" w:eastAsia="Arial" w:hAnsi="Arial" w:cs="Arial"/>
          <w:color w:val="000000" w:themeColor="text1"/>
          <w:sz w:val="24"/>
          <w:szCs w:val="24"/>
        </w:rPr>
        <w:t>000.000.oo</w:t>
      </w:r>
      <w:bookmarkEnd w:id="12"/>
      <w:r w:rsidRPr="00AD393D">
        <w:rPr>
          <w:rFonts w:ascii="Arial" w:eastAsia="Arial" w:hAnsi="Arial" w:cs="Arial"/>
          <w:color w:val="000000" w:themeColor="text1"/>
          <w:sz w:val="24"/>
          <w:szCs w:val="24"/>
        </w:rPr>
        <w:t xml:space="preserve"> para el 2023 y a diciembre de ese año contaba con una ejecución de 88%.</w:t>
      </w:r>
    </w:p>
    <w:p w14:paraId="629FD170" w14:textId="77777777" w:rsidR="000963BB" w:rsidRPr="00AD393D" w:rsidRDefault="000963BB" w:rsidP="0723639E">
      <w:pPr>
        <w:spacing w:after="0"/>
        <w:jc w:val="both"/>
        <w:rPr>
          <w:rFonts w:ascii="Arial" w:eastAsia="Arial" w:hAnsi="Arial" w:cs="Arial"/>
          <w:color w:val="000000" w:themeColor="text1"/>
          <w:sz w:val="24"/>
          <w:szCs w:val="24"/>
        </w:rPr>
      </w:pPr>
    </w:p>
    <w:p w14:paraId="278A5357" w14:textId="4DECC625" w:rsidR="00B06E76" w:rsidRPr="00AD393D" w:rsidRDefault="6B92079F" w:rsidP="0723639E">
      <w:pPr>
        <w:spacing w:after="0"/>
        <w:jc w:val="both"/>
        <w:rPr>
          <w:rFonts w:ascii="Arial" w:eastAsia="Arial" w:hAnsi="Arial" w:cs="Arial"/>
          <w:color w:val="000000" w:themeColor="text1"/>
          <w:sz w:val="24"/>
          <w:szCs w:val="24"/>
        </w:rPr>
      </w:pPr>
      <w:r w:rsidRPr="00AD393D">
        <w:rPr>
          <w:rFonts w:ascii="Arial" w:eastAsia="Arial" w:hAnsi="Arial" w:cs="Arial"/>
          <w:color w:val="000000" w:themeColor="text1"/>
          <w:sz w:val="24"/>
          <w:szCs w:val="24"/>
          <w:u w:val="single"/>
        </w:rPr>
        <w:t>La subdirección de gobierno, gestión territorial y lucha contra la trata</w:t>
      </w:r>
      <w:r w:rsidRPr="00AD393D">
        <w:rPr>
          <w:rFonts w:ascii="Arial" w:eastAsia="Arial" w:hAnsi="Arial" w:cs="Arial"/>
          <w:color w:val="000000" w:themeColor="text1"/>
          <w:sz w:val="24"/>
          <w:szCs w:val="24"/>
        </w:rPr>
        <w:t xml:space="preserve"> desarrolló la herramienta RedPat para la formulación, seguimiento y evaluación de los Planes de Acción Territorial en la lucha contra la trata de personas. Generaron estrategias y convenios para proyectos productivos, reinserción en el mercado laboral y vinculación al sistema educativo de las víctimas de tratas. Adoptaron una Ruta Binacional de Protección y Asistencia a Víctimas de Trata de Personas de Ecuador y Colombia. Realizaron acompañamiento en 64 planes de acción territorial de trata en los 32 departamentos. Articularon 234 casos de víctimas. Pusieron en marcha la campaña ‘De qué trata la trata’ en medios de comunicación y prevención en 10 localidades de Bogotá D.C. Desarrollaron proyectos de asociatividad territorial con 4 regiones del país, fortalecimiento de 15 esquemas asociativos territoriales, y 118 asistencias técnicas a los esquemas asociativos territoriales. De igual forma, realizaron acompañamiento a las autoridades locales, corporaciones de elección popular, mujeres y jóvenes en 272 ocasiones. Esta subdirección tenía una apropiación de $20.452.</w:t>
      </w:r>
      <w:bookmarkStart w:id="13" w:name="_Int_f0QqdGJk"/>
      <w:r w:rsidRPr="00AD393D">
        <w:rPr>
          <w:rFonts w:ascii="Arial" w:eastAsia="Arial" w:hAnsi="Arial" w:cs="Arial"/>
          <w:color w:val="000000" w:themeColor="text1"/>
          <w:sz w:val="24"/>
          <w:szCs w:val="24"/>
        </w:rPr>
        <w:t>000.000.oo</w:t>
      </w:r>
      <w:bookmarkEnd w:id="13"/>
      <w:r w:rsidRPr="00AD393D">
        <w:rPr>
          <w:rFonts w:ascii="Arial" w:eastAsia="Arial" w:hAnsi="Arial" w:cs="Arial"/>
          <w:color w:val="000000" w:themeColor="text1"/>
          <w:sz w:val="24"/>
          <w:szCs w:val="24"/>
        </w:rPr>
        <w:t xml:space="preserve"> para la vigencia 2023 y para diciembre de ese año contaba con una ejecución del 45%.</w:t>
      </w:r>
    </w:p>
    <w:p w14:paraId="6391BA8D" w14:textId="77777777" w:rsidR="00B90B4B" w:rsidRPr="00AD393D" w:rsidRDefault="00B90B4B" w:rsidP="0723639E">
      <w:pPr>
        <w:spacing w:after="0"/>
        <w:jc w:val="both"/>
        <w:rPr>
          <w:rFonts w:ascii="Arial" w:eastAsia="Arial" w:hAnsi="Arial" w:cs="Arial"/>
          <w:color w:val="000000" w:themeColor="text1"/>
          <w:sz w:val="24"/>
          <w:szCs w:val="24"/>
        </w:rPr>
      </w:pPr>
    </w:p>
    <w:p w14:paraId="3CBD518F" w14:textId="562C0B88" w:rsidR="000B4E9B" w:rsidRPr="00AD393D" w:rsidRDefault="6B92079F" w:rsidP="0723639E">
      <w:pPr>
        <w:spacing w:after="0"/>
        <w:jc w:val="both"/>
        <w:rPr>
          <w:rFonts w:ascii="Arial" w:eastAsia="Arial" w:hAnsi="Arial" w:cs="Arial"/>
          <w:color w:val="000000" w:themeColor="text1"/>
          <w:sz w:val="24"/>
          <w:szCs w:val="24"/>
        </w:rPr>
      </w:pPr>
      <w:r w:rsidRPr="00AD393D">
        <w:rPr>
          <w:rFonts w:ascii="Arial" w:eastAsia="Arial" w:hAnsi="Arial" w:cs="Arial"/>
          <w:color w:val="000000" w:themeColor="text1"/>
          <w:sz w:val="24"/>
          <w:szCs w:val="24"/>
          <w:u w:val="single"/>
        </w:rPr>
        <w:t xml:space="preserve">La subdirección de proyectos para la seguridad y convivencia ciudadana </w:t>
      </w:r>
      <w:r w:rsidRPr="00AD393D">
        <w:rPr>
          <w:rFonts w:ascii="Arial" w:eastAsia="Arial" w:hAnsi="Arial" w:cs="Arial"/>
          <w:color w:val="000000" w:themeColor="text1"/>
          <w:sz w:val="24"/>
          <w:szCs w:val="24"/>
        </w:rPr>
        <w:t>reportó 187 obras de infraestructura en 29 departamentos, 33 estaciones de policía y 26 proyectos de tecnología para la seguridad ciudadana. Reportan de igual forma una inversión de $236.781.</w:t>
      </w:r>
      <w:bookmarkStart w:id="14" w:name="_Int_fA6OtLxZ"/>
      <w:r w:rsidRPr="00AD393D">
        <w:rPr>
          <w:rFonts w:ascii="Arial" w:eastAsia="Arial" w:hAnsi="Arial" w:cs="Arial"/>
          <w:color w:val="000000" w:themeColor="text1"/>
          <w:sz w:val="24"/>
          <w:szCs w:val="24"/>
        </w:rPr>
        <w:t>643.789.oo</w:t>
      </w:r>
      <w:bookmarkEnd w:id="14"/>
      <w:r w:rsidRPr="00AD393D">
        <w:rPr>
          <w:rFonts w:ascii="Arial" w:eastAsia="Arial" w:hAnsi="Arial" w:cs="Arial"/>
          <w:color w:val="000000" w:themeColor="text1"/>
          <w:sz w:val="24"/>
          <w:szCs w:val="24"/>
        </w:rPr>
        <w:t xml:space="preserve"> de recursos del FONSECON en 51 proyectos. En el documento </w:t>
      </w:r>
      <w:r w:rsidRPr="00AD393D">
        <w:rPr>
          <w:rFonts w:ascii="Arial" w:eastAsia="Arial" w:hAnsi="Arial" w:cs="Arial"/>
          <w:i/>
          <w:iCs/>
          <w:color w:val="000000" w:themeColor="text1"/>
          <w:sz w:val="24"/>
          <w:szCs w:val="24"/>
        </w:rPr>
        <w:t xml:space="preserve">Informe al Congreso de la República 2022 – 2023, </w:t>
      </w:r>
      <w:r w:rsidRPr="00AD393D">
        <w:rPr>
          <w:rFonts w:ascii="Arial" w:eastAsia="Arial" w:hAnsi="Arial" w:cs="Arial"/>
          <w:color w:val="000000" w:themeColor="text1"/>
          <w:sz w:val="24"/>
          <w:szCs w:val="24"/>
        </w:rPr>
        <w:t>establecieron que en el 2023 se aprobaron 28 proyectos de inversión nuevos que incluían 1 estación de policía, 13 INF convivencia, 9 cámaras, 5 centros administrativos municipales (CAM), 1 proyecto para fuerza aérea y 1 para Fuerza Armada por un monto total aprobado de $120.402.787.180.oo</w:t>
      </w:r>
      <w:r w:rsidR="00612E38" w:rsidRPr="00AD393D">
        <w:rPr>
          <w:rStyle w:val="Refdenotaalpie"/>
          <w:rFonts w:ascii="Arial" w:eastAsia="Arial" w:hAnsi="Arial" w:cs="Arial"/>
          <w:color w:val="000000" w:themeColor="text1"/>
          <w:sz w:val="24"/>
          <w:szCs w:val="24"/>
        </w:rPr>
        <w:footnoteReference w:id="7"/>
      </w:r>
      <w:r w:rsidRPr="00AD393D">
        <w:rPr>
          <w:rFonts w:ascii="Arial" w:eastAsia="Arial" w:hAnsi="Arial" w:cs="Arial"/>
          <w:color w:val="000000" w:themeColor="text1"/>
          <w:sz w:val="24"/>
          <w:szCs w:val="24"/>
        </w:rPr>
        <w:t>. La mayoría de las obras en ejecución en el 2023 venían de las vigencias anteriores. Esta subdirección tenía una apropiación de $441.721.</w:t>
      </w:r>
      <w:bookmarkStart w:id="15" w:name="_Int_DGf1WHXT"/>
      <w:r w:rsidRPr="00AD393D">
        <w:rPr>
          <w:rFonts w:ascii="Arial" w:eastAsia="Arial" w:hAnsi="Arial" w:cs="Arial"/>
          <w:color w:val="000000" w:themeColor="text1"/>
          <w:sz w:val="24"/>
          <w:szCs w:val="24"/>
        </w:rPr>
        <w:t>000.000.oo</w:t>
      </w:r>
      <w:bookmarkEnd w:id="15"/>
      <w:r w:rsidRPr="00AD393D">
        <w:rPr>
          <w:rFonts w:ascii="Arial" w:eastAsia="Arial" w:hAnsi="Arial" w:cs="Arial"/>
          <w:color w:val="000000" w:themeColor="text1"/>
          <w:sz w:val="24"/>
          <w:szCs w:val="24"/>
        </w:rPr>
        <w:t xml:space="preserve"> para la vigencia de 2023, y reportaba para diciembre del mismo año una ejecución de 41%. </w:t>
      </w:r>
    </w:p>
    <w:p w14:paraId="77FB5741" w14:textId="7A11F9C9" w:rsidR="002931C7" w:rsidRPr="00AD393D" w:rsidRDefault="002931C7" w:rsidP="6B92079F">
      <w:pPr>
        <w:spacing w:after="0"/>
        <w:jc w:val="both"/>
        <w:rPr>
          <w:rFonts w:ascii="Arial" w:eastAsia="Arial" w:hAnsi="Arial" w:cs="Arial"/>
          <w:color w:val="000000" w:themeColor="text1"/>
          <w:sz w:val="24"/>
          <w:szCs w:val="24"/>
        </w:rPr>
      </w:pPr>
    </w:p>
    <w:p w14:paraId="022E5E5D" w14:textId="5B4C926C" w:rsidR="0723639E" w:rsidRPr="00AD393D" w:rsidRDefault="0723639E" w:rsidP="005C6112">
      <w:pPr>
        <w:pStyle w:val="Ttulo1"/>
        <w:rPr>
          <w:rFonts w:ascii="Arial" w:hAnsi="Arial" w:cs="Arial"/>
          <w:b/>
          <w:bCs/>
          <w:color w:val="auto"/>
          <w:sz w:val="24"/>
          <w:szCs w:val="24"/>
        </w:rPr>
      </w:pPr>
      <w:r w:rsidRPr="00AD393D">
        <w:rPr>
          <w:rFonts w:ascii="Arial" w:hAnsi="Arial" w:cs="Arial"/>
          <w:b/>
          <w:bCs/>
          <w:color w:val="auto"/>
          <w:sz w:val="24"/>
          <w:szCs w:val="24"/>
        </w:rPr>
        <w:t xml:space="preserve">Secretaría general: </w:t>
      </w:r>
    </w:p>
    <w:p w14:paraId="37F2A795" w14:textId="77777777" w:rsidR="005C6112" w:rsidRPr="00AD393D" w:rsidRDefault="005C6112" w:rsidP="0723639E">
      <w:pPr>
        <w:spacing w:after="0"/>
        <w:jc w:val="both"/>
        <w:rPr>
          <w:rFonts w:ascii="Arial" w:eastAsia="Arial" w:hAnsi="Arial" w:cs="Arial"/>
          <w:color w:val="000000" w:themeColor="text1"/>
          <w:sz w:val="24"/>
          <w:szCs w:val="24"/>
          <w:u w:val="single"/>
        </w:rPr>
      </w:pPr>
    </w:p>
    <w:p w14:paraId="2DC1848F" w14:textId="772DED39" w:rsidR="0723639E" w:rsidRPr="00AD393D" w:rsidRDefault="6B92079F" w:rsidP="0723639E">
      <w:pPr>
        <w:spacing w:after="0"/>
        <w:jc w:val="both"/>
      </w:pPr>
      <w:r w:rsidRPr="00AD393D">
        <w:rPr>
          <w:rFonts w:ascii="Arial" w:eastAsia="Arial" w:hAnsi="Arial" w:cs="Arial"/>
          <w:color w:val="000000" w:themeColor="text1"/>
          <w:sz w:val="24"/>
          <w:szCs w:val="24"/>
          <w:u w:val="single"/>
        </w:rPr>
        <w:t>La Subdirección Administrativa y financiera</w:t>
      </w:r>
      <w:r w:rsidRPr="00AD393D">
        <w:rPr>
          <w:rFonts w:ascii="Arial" w:eastAsia="Arial" w:hAnsi="Arial" w:cs="Arial"/>
          <w:color w:val="000000" w:themeColor="text1"/>
          <w:sz w:val="24"/>
          <w:szCs w:val="24"/>
        </w:rPr>
        <w:t xml:space="preserve"> reportó el proyecto de inversión “</w:t>
      </w:r>
      <w:r w:rsidRPr="00AD393D">
        <w:rPr>
          <w:rFonts w:ascii="Arial" w:eastAsia="Arial" w:hAnsi="Arial" w:cs="Arial"/>
          <w:i/>
          <w:iCs/>
          <w:color w:val="000000" w:themeColor="text1"/>
          <w:sz w:val="24"/>
          <w:szCs w:val="24"/>
        </w:rPr>
        <w:t xml:space="preserve">IMPLEMENTACIÓN DE UN SISTEMA INTEGRAL DE GESTIÓN DE </w:t>
      </w:r>
      <w:r w:rsidRPr="00AD393D">
        <w:rPr>
          <w:rFonts w:ascii="Arial" w:eastAsia="Arial" w:hAnsi="Arial" w:cs="Arial"/>
          <w:i/>
          <w:iCs/>
          <w:color w:val="000000" w:themeColor="text1"/>
          <w:sz w:val="24"/>
          <w:szCs w:val="24"/>
        </w:rPr>
        <w:lastRenderedPageBreak/>
        <w:t>DOCUMENTOS Y ADMINISTRACION DE ARCHIVOS, EN EL MINISTERIO DEL INTERIOR, NACIONAL”</w:t>
      </w:r>
      <w:r w:rsidRPr="00AD393D">
        <w:rPr>
          <w:rFonts w:ascii="Arial" w:eastAsia="Arial" w:hAnsi="Arial" w:cs="Arial"/>
          <w:color w:val="000000" w:themeColor="text1"/>
          <w:sz w:val="24"/>
          <w:szCs w:val="24"/>
        </w:rPr>
        <w:t xml:space="preserve"> con una asignación de $2.293.</w:t>
      </w:r>
      <w:bookmarkStart w:id="16" w:name="_Int_kG7aqtC2"/>
      <w:r w:rsidRPr="00AD393D">
        <w:rPr>
          <w:rFonts w:ascii="Arial" w:eastAsia="Arial" w:hAnsi="Arial" w:cs="Arial"/>
          <w:color w:val="000000" w:themeColor="text1"/>
          <w:sz w:val="24"/>
          <w:szCs w:val="24"/>
        </w:rPr>
        <w:t>939.881.oo</w:t>
      </w:r>
      <w:bookmarkEnd w:id="16"/>
      <w:r w:rsidRPr="00AD393D">
        <w:rPr>
          <w:rFonts w:ascii="Arial" w:eastAsia="Arial" w:hAnsi="Arial" w:cs="Arial"/>
          <w:color w:val="000000" w:themeColor="text1"/>
          <w:sz w:val="24"/>
          <w:szCs w:val="24"/>
        </w:rPr>
        <w:t xml:space="preserve"> para el 2023. Este proyecto cerró el 2023 con una ejecución del 60,10% de todos los recursos. De igual forma reportan logros sobre los procesos de mejora archivística y conservación documental. </w:t>
      </w:r>
    </w:p>
    <w:p w14:paraId="2EAD4ED8" w14:textId="1C2C1F27" w:rsidR="0723639E" w:rsidRPr="00AD393D" w:rsidRDefault="0723639E" w:rsidP="0723639E">
      <w:pPr>
        <w:spacing w:after="0"/>
        <w:jc w:val="both"/>
      </w:pPr>
      <w:r w:rsidRPr="00AD393D">
        <w:rPr>
          <w:rFonts w:ascii="Arial" w:eastAsia="Arial" w:hAnsi="Arial" w:cs="Arial"/>
          <w:color w:val="000000" w:themeColor="text1"/>
          <w:sz w:val="24"/>
          <w:szCs w:val="24"/>
        </w:rPr>
        <w:t xml:space="preserve"> </w:t>
      </w:r>
    </w:p>
    <w:p w14:paraId="0BBA9CFA" w14:textId="0BB90E8A" w:rsidR="0723639E" w:rsidRPr="00AD393D" w:rsidRDefault="0723639E" w:rsidP="0723639E">
      <w:pPr>
        <w:spacing w:after="0"/>
        <w:jc w:val="both"/>
      </w:pPr>
      <w:r w:rsidRPr="00AD393D">
        <w:rPr>
          <w:rFonts w:ascii="Arial" w:eastAsia="Arial" w:hAnsi="Arial" w:cs="Arial"/>
          <w:color w:val="000000" w:themeColor="text1"/>
          <w:sz w:val="24"/>
          <w:szCs w:val="24"/>
          <w:u w:val="single"/>
        </w:rPr>
        <w:t>La subdirección de Gestión Humana</w:t>
      </w:r>
      <w:r w:rsidRPr="00AD393D">
        <w:rPr>
          <w:rFonts w:ascii="Arial" w:eastAsia="Arial" w:hAnsi="Arial" w:cs="Arial"/>
          <w:color w:val="000000" w:themeColor="text1"/>
          <w:sz w:val="24"/>
          <w:szCs w:val="24"/>
        </w:rPr>
        <w:t xml:space="preserve"> reportó un 92% en ejecución de tiquetes aéreos (784 tiquetes), 98,8% de ejecución en viáticos y gastos de viajes, al igual que realizaron 178 actividades de plan estratégico. </w:t>
      </w:r>
    </w:p>
    <w:p w14:paraId="22633829" w14:textId="6118A82D" w:rsidR="0723639E" w:rsidRPr="00AD393D" w:rsidRDefault="0723639E" w:rsidP="0723639E">
      <w:pPr>
        <w:spacing w:after="0"/>
        <w:jc w:val="both"/>
      </w:pPr>
    </w:p>
    <w:p w14:paraId="26B44736" w14:textId="7A77F515" w:rsidR="0723639E" w:rsidRPr="00AD393D" w:rsidRDefault="6B92079F" w:rsidP="0723639E">
      <w:pPr>
        <w:spacing w:after="0"/>
        <w:jc w:val="both"/>
      </w:pPr>
      <w:r w:rsidRPr="00AD393D">
        <w:rPr>
          <w:rFonts w:ascii="Arial" w:eastAsia="Arial" w:hAnsi="Arial" w:cs="Arial"/>
          <w:color w:val="000000" w:themeColor="text1"/>
          <w:sz w:val="24"/>
          <w:szCs w:val="24"/>
          <w:u w:val="single"/>
        </w:rPr>
        <w:t>La subdirección de Gestión Contractual</w:t>
      </w:r>
      <w:r w:rsidRPr="00AD393D">
        <w:rPr>
          <w:rFonts w:ascii="Arial" w:eastAsia="Arial" w:hAnsi="Arial" w:cs="Arial"/>
          <w:color w:val="000000" w:themeColor="text1"/>
          <w:sz w:val="24"/>
          <w:szCs w:val="24"/>
        </w:rPr>
        <w:t xml:space="preserve"> reportó los contratos y convenios suscritos y reportados. Preocupa que, del total de contratos suscritos en 2023 por esta subdirección, 2.612 fueron realizados por la modalidad de contratación directa (98,1%). </w:t>
      </w:r>
    </w:p>
    <w:p w14:paraId="5F333A78" w14:textId="30002A7E" w:rsidR="0723639E" w:rsidRPr="00AD393D" w:rsidRDefault="0723639E" w:rsidP="0723639E">
      <w:pPr>
        <w:spacing w:after="0"/>
        <w:jc w:val="both"/>
        <w:rPr>
          <w:rFonts w:ascii="Arial" w:eastAsia="Arial" w:hAnsi="Arial" w:cs="Arial"/>
          <w:color w:val="000000" w:themeColor="text1"/>
          <w:sz w:val="24"/>
          <w:szCs w:val="24"/>
        </w:rPr>
      </w:pPr>
    </w:p>
    <w:p w14:paraId="68801642" w14:textId="546610CA" w:rsidR="0723639E" w:rsidRPr="00AD393D" w:rsidRDefault="0723639E" w:rsidP="005C6112">
      <w:pPr>
        <w:pStyle w:val="Ttulo1"/>
        <w:rPr>
          <w:rFonts w:ascii="Arial" w:hAnsi="Arial" w:cs="Arial"/>
          <w:b/>
          <w:bCs/>
          <w:color w:val="auto"/>
          <w:sz w:val="24"/>
          <w:szCs w:val="24"/>
        </w:rPr>
      </w:pPr>
      <w:r w:rsidRPr="00AD393D">
        <w:rPr>
          <w:rFonts w:ascii="Arial" w:hAnsi="Arial" w:cs="Arial"/>
          <w:b/>
          <w:bCs/>
          <w:color w:val="auto"/>
          <w:sz w:val="24"/>
          <w:szCs w:val="24"/>
        </w:rPr>
        <w:t>Despacho ministro del Interior:</w:t>
      </w:r>
    </w:p>
    <w:p w14:paraId="03236261" w14:textId="77777777" w:rsidR="005C6112" w:rsidRPr="00AD393D" w:rsidRDefault="005C6112" w:rsidP="0723639E">
      <w:pPr>
        <w:pBdr>
          <w:top w:val="nil"/>
          <w:left w:val="nil"/>
          <w:bottom w:val="nil"/>
          <w:right w:val="nil"/>
          <w:between w:val="nil"/>
        </w:pBdr>
        <w:spacing w:after="0" w:line="240" w:lineRule="auto"/>
        <w:jc w:val="both"/>
        <w:rPr>
          <w:rFonts w:ascii="Arial" w:eastAsia="Arial" w:hAnsi="Arial" w:cs="Arial"/>
          <w:color w:val="000000" w:themeColor="text1"/>
          <w:sz w:val="24"/>
          <w:szCs w:val="24"/>
          <w:u w:val="single"/>
        </w:rPr>
      </w:pPr>
    </w:p>
    <w:p w14:paraId="08786221" w14:textId="105E0CF2" w:rsidR="005B06B0" w:rsidRPr="00AD393D" w:rsidRDefault="6B92079F" w:rsidP="0723639E">
      <w:pPr>
        <w:pBdr>
          <w:top w:val="nil"/>
          <w:left w:val="nil"/>
          <w:bottom w:val="nil"/>
          <w:right w:val="nil"/>
          <w:between w:val="nil"/>
        </w:pBdr>
        <w:spacing w:after="0" w:line="240" w:lineRule="auto"/>
        <w:jc w:val="both"/>
        <w:rPr>
          <w:rFonts w:ascii="Arial" w:eastAsia="Arial" w:hAnsi="Arial" w:cs="Arial"/>
          <w:color w:val="000000" w:themeColor="text1"/>
          <w:sz w:val="24"/>
          <w:szCs w:val="24"/>
        </w:rPr>
      </w:pPr>
      <w:r w:rsidRPr="00AD393D">
        <w:rPr>
          <w:rFonts w:ascii="Arial" w:eastAsia="Arial" w:hAnsi="Arial" w:cs="Arial"/>
          <w:color w:val="000000" w:themeColor="text1"/>
          <w:sz w:val="24"/>
          <w:szCs w:val="24"/>
          <w:u w:val="single"/>
        </w:rPr>
        <w:t>La oficina de asesoría jurídica</w:t>
      </w:r>
      <w:r w:rsidRPr="00AD393D">
        <w:rPr>
          <w:rFonts w:ascii="Arial" w:eastAsia="Arial" w:hAnsi="Arial" w:cs="Arial"/>
          <w:color w:val="000000" w:themeColor="text1"/>
          <w:sz w:val="24"/>
          <w:szCs w:val="24"/>
        </w:rPr>
        <w:t xml:space="preserve"> reporta que en el 2023 solo usaron el 5% de los recursos asignados al pago de sentencias, unos $597 millones de pesos, esto representa una disminución del 77,6% en el pago de sentencias a comparación de la vigencia anterior. </w:t>
      </w:r>
    </w:p>
    <w:p w14:paraId="5D0716E7" w14:textId="455060BC" w:rsidR="6B92079F" w:rsidRPr="00AD393D" w:rsidRDefault="6B92079F" w:rsidP="6B92079F">
      <w:pPr>
        <w:pBdr>
          <w:top w:val="nil"/>
          <w:left w:val="nil"/>
          <w:bottom w:val="nil"/>
          <w:right w:val="nil"/>
          <w:between w:val="nil"/>
        </w:pBdr>
        <w:spacing w:after="0" w:line="240" w:lineRule="auto"/>
        <w:jc w:val="both"/>
        <w:rPr>
          <w:rFonts w:ascii="Arial" w:eastAsia="Arial" w:hAnsi="Arial" w:cs="Arial"/>
          <w:color w:val="000000" w:themeColor="text1"/>
          <w:sz w:val="24"/>
          <w:szCs w:val="24"/>
        </w:rPr>
      </w:pPr>
    </w:p>
    <w:p w14:paraId="6AD4AEFB" w14:textId="301AF232" w:rsidR="0723639E" w:rsidRPr="00AD393D" w:rsidRDefault="0723639E" w:rsidP="6B92079F">
      <w:pPr>
        <w:pBdr>
          <w:top w:val="nil"/>
          <w:left w:val="nil"/>
          <w:bottom w:val="nil"/>
          <w:right w:val="nil"/>
          <w:between w:val="nil"/>
        </w:pBdr>
        <w:spacing w:after="0" w:line="240" w:lineRule="auto"/>
        <w:jc w:val="both"/>
        <w:rPr>
          <w:rFonts w:ascii="Arial" w:eastAsia="Arial" w:hAnsi="Arial" w:cs="Arial"/>
          <w:color w:val="000000" w:themeColor="text1"/>
          <w:sz w:val="24"/>
          <w:szCs w:val="24"/>
        </w:rPr>
      </w:pPr>
      <w:r w:rsidRPr="00AD393D">
        <w:rPr>
          <w:rFonts w:ascii="Arial" w:eastAsia="Arial" w:hAnsi="Arial" w:cs="Arial"/>
          <w:color w:val="000000" w:themeColor="text1"/>
          <w:sz w:val="24"/>
          <w:szCs w:val="24"/>
        </w:rPr>
        <w:t xml:space="preserve">Reportaron $1.200 millones de pesos en recaudo de cartera de procesos de cobro coactivo, un decrecimiento del 3,6% a comparación de los $1.244 mil millones de pesos que </w:t>
      </w:r>
      <w:r w:rsidR="005B06B0" w:rsidRPr="00AD393D">
        <w:rPr>
          <w:rFonts w:ascii="Arial" w:eastAsia="Arial" w:hAnsi="Arial" w:cs="Arial"/>
          <w:color w:val="000000" w:themeColor="text1"/>
          <w:sz w:val="24"/>
          <w:szCs w:val="24"/>
        </w:rPr>
        <w:t>reportaron</w:t>
      </w:r>
      <w:r w:rsidRPr="00AD393D">
        <w:rPr>
          <w:rFonts w:ascii="Arial" w:eastAsia="Arial" w:hAnsi="Arial" w:cs="Arial"/>
          <w:color w:val="000000" w:themeColor="text1"/>
          <w:sz w:val="24"/>
          <w:szCs w:val="24"/>
        </w:rPr>
        <w:t xml:space="preserve"> para la vigencia anterior</w:t>
      </w:r>
      <w:r w:rsidRPr="00AD393D">
        <w:rPr>
          <w:rStyle w:val="Refdenotaalpie"/>
          <w:rFonts w:ascii="Arial" w:eastAsia="Arial" w:hAnsi="Arial" w:cs="Arial"/>
          <w:color w:val="000000" w:themeColor="text1"/>
          <w:sz w:val="24"/>
          <w:szCs w:val="24"/>
        </w:rPr>
        <w:footnoteReference w:id="8"/>
      </w:r>
      <w:r w:rsidRPr="00AD393D">
        <w:rPr>
          <w:rFonts w:ascii="Arial" w:eastAsia="Arial" w:hAnsi="Arial" w:cs="Arial"/>
          <w:color w:val="000000" w:themeColor="text1"/>
          <w:sz w:val="24"/>
          <w:szCs w:val="24"/>
        </w:rPr>
        <w:t xml:space="preserve"> y, por último, recibieron 2.109 tutelas con una tasa de favorabilidad del 94%, un valor 5 puntos porcentuales más bajo que el reportado en la vigencia de 2022 cuando recibieron 2.451 acciones de tutela con un porcentaje de favorabilidad del 99%. Por último, reportaron que el Ministerio tiene 1.787 procesos judiciales, que son 100 procesos menos que en la vigencia anterior</w:t>
      </w:r>
      <w:r w:rsidR="005B06B0" w:rsidRPr="00AD393D">
        <w:rPr>
          <w:rFonts w:ascii="Arial" w:eastAsia="Arial" w:hAnsi="Arial" w:cs="Arial"/>
          <w:color w:val="000000" w:themeColor="text1"/>
          <w:sz w:val="24"/>
          <w:szCs w:val="24"/>
        </w:rPr>
        <w:t>.</w:t>
      </w:r>
      <w:r w:rsidRPr="00AD393D">
        <w:rPr>
          <w:rFonts w:ascii="Arial" w:eastAsia="Arial" w:hAnsi="Arial" w:cs="Arial"/>
          <w:color w:val="000000" w:themeColor="text1"/>
          <w:sz w:val="24"/>
          <w:szCs w:val="24"/>
        </w:rPr>
        <w:t xml:space="preserve"> </w:t>
      </w:r>
      <w:r w:rsidR="005B06B0" w:rsidRPr="00AD393D">
        <w:rPr>
          <w:rFonts w:ascii="Arial" w:eastAsia="Arial" w:hAnsi="Arial" w:cs="Arial"/>
          <w:color w:val="000000" w:themeColor="text1"/>
          <w:sz w:val="24"/>
          <w:szCs w:val="24"/>
        </w:rPr>
        <w:t>S</w:t>
      </w:r>
      <w:r w:rsidRPr="00AD393D">
        <w:rPr>
          <w:rFonts w:ascii="Arial" w:eastAsia="Arial" w:hAnsi="Arial" w:cs="Arial"/>
          <w:color w:val="000000" w:themeColor="text1"/>
          <w:sz w:val="24"/>
          <w:szCs w:val="24"/>
        </w:rPr>
        <w:t>e resalta que no se menciona en cuántos de estos procesos está vinculado el ministerio como sujeto procesal en calidad de “demandante” y cuántos en calidad de “demandado”</w:t>
      </w:r>
      <w:r w:rsidR="005B06B0" w:rsidRPr="00AD393D">
        <w:rPr>
          <w:rFonts w:ascii="Arial" w:eastAsia="Arial" w:hAnsi="Arial" w:cs="Arial"/>
          <w:color w:val="000000" w:themeColor="text1"/>
          <w:sz w:val="24"/>
          <w:szCs w:val="24"/>
        </w:rPr>
        <w:t xml:space="preserve"> por lo que comparar con periodos anteriores no fue posible.</w:t>
      </w:r>
      <w:r w:rsidR="00DC2C5D" w:rsidRPr="00AD393D">
        <w:rPr>
          <w:rFonts w:ascii="Arial" w:eastAsia="Arial" w:hAnsi="Arial" w:cs="Arial"/>
          <w:color w:val="000000" w:themeColor="text1"/>
          <w:sz w:val="24"/>
          <w:szCs w:val="24"/>
        </w:rPr>
        <w:t xml:space="preserve"> Esta oficina tenía una apropiación de $</w:t>
      </w:r>
      <w:r w:rsidR="00056B33" w:rsidRPr="00AD393D">
        <w:rPr>
          <w:rFonts w:ascii="Arial" w:eastAsia="Arial" w:hAnsi="Arial" w:cs="Arial"/>
          <w:color w:val="000000" w:themeColor="text1"/>
          <w:sz w:val="24"/>
          <w:szCs w:val="24"/>
        </w:rPr>
        <w:t>12.260.</w:t>
      </w:r>
      <w:bookmarkStart w:id="17" w:name="_Int_BHu6dJ6N"/>
      <w:r w:rsidR="00056B33" w:rsidRPr="00AD393D">
        <w:rPr>
          <w:rFonts w:ascii="Arial" w:eastAsia="Arial" w:hAnsi="Arial" w:cs="Arial"/>
          <w:color w:val="000000" w:themeColor="text1"/>
          <w:sz w:val="24"/>
          <w:szCs w:val="24"/>
        </w:rPr>
        <w:t>000.000.oo</w:t>
      </w:r>
      <w:bookmarkEnd w:id="17"/>
      <w:r w:rsidR="00056B33" w:rsidRPr="00AD393D">
        <w:rPr>
          <w:rFonts w:ascii="Arial" w:eastAsia="Arial" w:hAnsi="Arial" w:cs="Arial"/>
          <w:color w:val="000000" w:themeColor="text1"/>
          <w:sz w:val="24"/>
          <w:szCs w:val="24"/>
        </w:rPr>
        <w:t xml:space="preserve"> para la vigencia 2023 y para diciembre de ese mismo año reportaba una ejecución del 5%</w:t>
      </w:r>
      <w:r w:rsidR="004B777E" w:rsidRPr="00AD393D">
        <w:rPr>
          <w:rFonts w:ascii="Arial" w:eastAsia="Arial" w:hAnsi="Arial" w:cs="Arial"/>
          <w:color w:val="000000" w:themeColor="text1"/>
          <w:sz w:val="24"/>
          <w:szCs w:val="24"/>
          <w:vertAlign w:val="superscript"/>
        </w:rPr>
        <w:footnoteReference w:id="9"/>
      </w:r>
      <w:r w:rsidR="00056B33" w:rsidRPr="00AD393D">
        <w:rPr>
          <w:rFonts w:ascii="Arial" w:eastAsia="Arial" w:hAnsi="Arial" w:cs="Arial"/>
          <w:color w:val="000000" w:themeColor="text1"/>
          <w:sz w:val="24"/>
          <w:szCs w:val="24"/>
        </w:rPr>
        <w:t xml:space="preserve">. </w:t>
      </w:r>
    </w:p>
    <w:p w14:paraId="33334DC5" w14:textId="2BD17B0F" w:rsidR="0723639E" w:rsidRPr="00AD393D" w:rsidRDefault="0723639E" w:rsidP="0723639E">
      <w:pPr>
        <w:pBdr>
          <w:top w:val="nil"/>
          <w:left w:val="nil"/>
          <w:bottom w:val="nil"/>
          <w:right w:val="nil"/>
          <w:between w:val="nil"/>
        </w:pBdr>
        <w:spacing w:after="0" w:line="240" w:lineRule="auto"/>
        <w:jc w:val="both"/>
        <w:rPr>
          <w:rFonts w:ascii="Arial" w:eastAsia="Arial" w:hAnsi="Arial" w:cs="Arial"/>
          <w:color w:val="000000" w:themeColor="text1"/>
          <w:sz w:val="24"/>
          <w:szCs w:val="24"/>
        </w:rPr>
      </w:pPr>
    </w:p>
    <w:p w14:paraId="0768E4D2" w14:textId="0FE6EB5A" w:rsidR="00D5777E" w:rsidRPr="00AD393D" w:rsidRDefault="6B92079F" w:rsidP="6B92079F">
      <w:pPr>
        <w:pBdr>
          <w:top w:val="nil"/>
          <w:left w:val="nil"/>
          <w:bottom w:val="nil"/>
          <w:right w:val="nil"/>
          <w:between w:val="nil"/>
        </w:pBdr>
        <w:spacing w:after="0" w:line="240" w:lineRule="auto"/>
        <w:jc w:val="both"/>
        <w:rPr>
          <w:rFonts w:ascii="Arial" w:eastAsia="Arial" w:hAnsi="Arial" w:cs="Arial"/>
          <w:color w:val="000000" w:themeColor="text1"/>
          <w:sz w:val="24"/>
          <w:szCs w:val="24"/>
        </w:rPr>
      </w:pPr>
      <w:r w:rsidRPr="00AD393D">
        <w:rPr>
          <w:rFonts w:ascii="Arial" w:eastAsia="Arial" w:hAnsi="Arial" w:cs="Arial"/>
          <w:color w:val="000000" w:themeColor="text1"/>
          <w:sz w:val="24"/>
          <w:szCs w:val="24"/>
          <w:u w:val="single"/>
        </w:rPr>
        <w:lastRenderedPageBreak/>
        <w:t>El grupo de articulación interna para la política de víctimas</w:t>
      </w:r>
      <w:r w:rsidRPr="00AD393D">
        <w:rPr>
          <w:rFonts w:ascii="Arial" w:eastAsia="Arial" w:hAnsi="Arial" w:cs="Arial"/>
          <w:color w:val="000000" w:themeColor="text1"/>
          <w:sz w:val="24"/>
          <w:szCs w:val="24"/>
        </w:rPr>
        <w:t xml:space="preserve"> reportó que hizo seguimiento a lo dispuesto en la Sentencia T- 025 de 2004 a través de la producción de 7 documentos. Indicaron que realizaron 1.001 abordajes territoriales incluyendo asistencias técnicas, mecanismos de corresponsabilidad y Ruta de la Esperanza; sin embargo, no establecen en el marco de qué programas o proyectos se realizaron dichas acciones, ni las entidades territoriales o las iniciativas beneficiadas, al igual que el número de personas que participaron de dichas actividades. </w:t>
      </w:r>
    </w:p>
    <w:p w14:paraId="51FD71EE" w14:textId="77777777" w:rsidR="009B4745" w:rsidRPr="00AD393D" w:rsidRDefault="009B4745" w:rsidP="0723639E">
      <w:pPr>
        <w:pBdr>
          <w:top w:val="nil"/>
          <w:left w:val="nil"/>
          <w:bottom w:val="nil"/>
          <w:right w:val="nil"/>
          <w:between w:val="nil"/>
        </w:pBdr>
        <w:spacing w:after="0" w:line="240" w:lineRule="auto"/>
        <w:jc w:val="both"/>
        <w:rPr>
          <w:rFonts w:ascii="Arial" w:eastAsia="Arial" w:hAnsi="Arial" w:cs="Arial"/>
          <w:color w:val="000000" w:themeColor="text1"/>
          <w:sz w:val="24"/>
          <w:szCs w:val="24"/>
        </w:rPr>
      </w:pPr>
    </w:p>
    <w:p w14:paraId="7393D57F" w14:textId="42DDED18" w:rsidR="00C53F3C" w:rsidRPr="00AD393D" w:rsidRDefault="6B92079F" w:rsidP="6B92079F">
      <w:pPr>
        <w:pBdr>
          <w:top w:val="nil"/>
          <w:left w:val="nil"/>
          <w:bottom w:val="nil"/>
          <w:right w:val="nil"/>
          <w:between w:val="nil"/>
        </w:pBdr>
        <w:spacing w:after="0" w:line="240" w:lineRule="auto"/>
        <w:jc w:val="both"/>
        <w:rPr>
          <w:rFonts w:ascii="Arial" w:eastAsia="Arial" w:hAnsi="Arial" w:cs="Arial"/>
          <w:color w:val="000000" w:themeColor="text1"/>
          <w:sz w:val="24"/>
          <w:szCs w:val="24"/>
        </w:rPr>
      </w:pPr>
      <w:r w:rsidRPr="00AD393D">
        <w:rPr>
          <w:rFonts w:ascii="Arial" w:eastAsia="Arial" w:hAnsi="Arial" w:cs="Arial"/>
          <w:color w:val="000000" w:themeColor="text1"/>
          <w:sz w:val="24"/>
          <w:szCs w:val="24"/>
        </w:rPr>
        <w:t xml:space="preserve">Establecen que desarrollaron 3 nuevos sistemas de información para el seguimiento y fortalecimiento territorial de la política de víctimas, pero no mencionan si esto se llevó a cabo en paralelo o en el marco de las actividades del Sistema de Información, Coordinación y Seguimiento Territorial de la Política Pública de Víctimas del Conflicto Armado Interno – RUSICST. Sin embargo, en el documento de </w:t>
      </w:r>
      <w:r w:rsidRPr="00AD393D">
        <w:rPr>
          <w:rFonts w:ascii="Arial" w:eastAsia="Arial" w:hAnsi="Arial" w:cs="Arial"/>
          <w:i/>
          <w:iCs/>
          <w:color w:val="000000" w:themeColor="text1"/>
          <w:sz w:val="24"/>
          <w:szCs w:val="24"/>
        </w:rPr>
        <w:t xml:space="preserve">Informe al Congreso de la República 2022-2023 </w:t>
      </w:r>
      <w:r w:rsidRPr="00AD393D">
        <w:rPr>
          <w:rFonts w:ascii="Arial" w:eastAsia="Arial" w:hAnsi="Arial" w:cs="Arial"/>
          <w:color w:val="000000" w:themeColor="text1"/>
          <w:sz w:val="24"/>
          <w:szCs w:val="24"/>
        </w:rPr>
        <w:t>el Grupo de Articulación Interna para la Política Interna de Víctimas menciona que han avanzado en el seguimiento y los reportes que se hacen en el RUSICST al igual que en optimización de las herramientas para el seguimiento y fortalecimiento territorial del sistema</w:t>
      </w:r>
      <w:r w:rsidR="00E526B1" w:rsidRPr="00AD393D">
        <w:rPr>
          <w:rStyle w:val="Refdenotaalpie"/>
          <w:rFonts w:ascii="Arial" w:eastAsia="Arial" w:hAnsi="Arial" w:cs="Arial"/>
          <w:color w:val="000000" w:themeColor="text1"/>
          <w:sz w:val="24"/>
          <w:szCs w:val="24"/>
        </w:rPr>
        <w:footnoteReference w:id="10"/>
      </w:r>
      <w:r w:rsidRPr="00AD393D">
        <w:rPr>
          <w:rFonts w:ascii="Arial" w:eastAsia="Arial" w:hAnsi="Arial" w:cs="Arial"/>
          <w:color w:val="000000" w:themeColor="text1"/>
          <w:sz w:val="24"/>
          <w:szCs w:val="24"/>
        </w:rPr>
        <w:t>, no que fuera la implementación de sistemas nuevos, por lo que hay una inconsistencia entre los documentos.</w:t>
      </w:r>
    </w:p>
    <w:p w14:paraId="7BFCFA28" w14:textId="77777777" w:rsidR="009B4745" w:rsidRPr="00AD393D" w:rsidRDefault="009B4745" w:rsidP="0723639E">
      <w:pPr>
        <w:pBdr>
          <w:top w:val="nil"/>
          <w:left w:val="nil"/>
          <w:bottom w:val="nil"/>
          <w:right w:val="nil"/>
          <w:between w:val="nil"/>
        </w:pBdr>
        <w:spacing w:after="0" w:line="240" w:lineRule="auto"/>
        <w:jc w:val="both"/>
        <w:rPr>
          <w:rFonts w:ascii="Arial" w:eastAsia="Arial" w:hAnsi="Arial" w:cs="Arial"/>
          <w:color w:val="000000" w:themeColor="text1"/>
          <w:sz w:val="24"/>
          <w:szCs w:val="24"/>
        </w:rPr>
      </w:pPr>
    </w:p>
    <w:p w14:paraId="0BFCF0C1" w14:textId="354C1378" w:rsidR="00A443B5" w:rsidRPr="00AD393D" w:rsidRDefault="6B92079F" w:rsidP="6B92079F">
      <w:pPr>
        <w:pBdr>
          <w:top w:val="nil"/>
          <w:left w:val="nil"/>
          <w:bottom w:val="nil"/>
          <w:right w:val="nil"/>
          <w:between w:val="nil"/>
        </w:pBdr>
        <w:spacing w:after="0" w:line="240" w:lineRule="auto"/>
        <w:jc w:val="both"/>
        <w:rPr>
          <w:rFonts w:ascii="Arial" w:eastAsia="Arial" w:hAnsi="Arial" w:cs="Arial"/>
          <w:color w:val="000000" w:themeColor="text1"/>
          <w:sz w:val="24"/>
          <w:szCs w:val="24"/>
        </w:rPr>
      </w:pPr>
      <w:r w:rsidRPr="00AD393D">
        <w:rPr>
          <w:rFonts w:ascii="Arial" w:eastAsia="Arial" w:hAnsi="Arial" w:cs="Arial"/>
          <w:color w:val="000000" w:themeColor="text1"/>
          <w:sz w:val="24"/>
          <w:szCs w:val="24"/>
        </w:rPr>
        <w:t>Reportan la inversión de $2.536.</w:t>
      </w:r>
      <w:bookmarkStart w:id="18" w:name="_Int_sd4WKxCE"/>
      <w:r w:rsidRPr="00AD393D">
        <w:rPr>
          <w:rFonts w:ascii="Arial" w:eastAsia="Arial" w:hAnsi="Arial" w:cs="Arial"/>
          <w:color w:val="000000" w:themeColor="text1"/>
          <w:sz w:val="24"/>
          <w:szCs w:val="24"/>
        </w:rPr>
        <w:t>673.114.oo</w:t>
      </w:r>
      <w:bookmarkEnd w:id="18"/>
      <w:r w:rsidRPr="00AD393D">
        <w:rPr>
          <w:rFonts w:ascii="Arial" w:eastAsia="Arial" w:hAnsi="Arial" w:cs="Arial"/>
          <w:color w:val="000000" w:themeColor="text1"/>
          <w:sz w:val="24"/>
          <w:szCs w:val="24"/>
        </w:rPr>
        <w:t xml:space="preserve"> en el Proyecto ‘</w:t>
      </w:r>
      <w:r w:rsidRPr="00AD393D">
        <w:rPr>
          <w:rFonts w:ascii="Arial" w:eastAsia="Arial" w:hAnsi="Arial" w:cs="Arial"/>
          <w:i/>
          <w:iCs/>
          <w:color w:val="000000" w:themeColor="text1"/>
          <w:sz w:val="24"/>
          <w:szCs w:val="24"/>
        </w:rPr>
        <w:t>FORTALECIMIENTO INSTITUCIONAL PARA LA IMPLEMENTACIÓN DE LA POLÍTICA PÚBLICA DE VÍCTIMAS A NIVEL NACIONAL</w:t>
      </w:r>
      <w:r w:rsidRPr="00AD393D">
        <w:rPr>
          <w:rFonts w:ascii="Arial" w:eastAsia="Arial" w:hAnsi="Arial" w:cs="Arial"/>
          <w:color w:val="000000" w:themeColor="text1"/>
          <w:sz w:val="24"/>
          <w:szCs w:val="24"/>
        </w:rPr>
        <w:t xml:space="preserve">’, que reporta una ejecución del 100% para la vigencia del 2023, pero esta información no se desagrega por región o entidad territorial. </w:t>
      </w:r>
    </w:p>
    <w:p w14:paraId="66B667D1" w14:textId="77777777" w:rsidR="009B4745" w:rsidRPr="00AD393D" w:rsidRDefault="009B4745" w:rsidP="0723639E">
      <w:pPr>
        <w:pBdr>
          <w:top w:val="nil"/>
          <w:left w:val="nil"/>
          <w:bottom w:val="nil"/>
          <w:right w:val="nil"/>
          <w:between w:val="nil"/>
        </w:pBdr>
        <w:spacing w:after="0" w:line="240" w:lineRule="auto"/>
        <w:jc w:val="both"/>
        <w:rPr>
          <w:rFonts w:ascii="Arial" w:eastAsia="Arial" w:hAnsi="Arial" w:cs="Arial"/>
          <w:color w:val="000000" w:themeColor="text1"/>
          <w:sz w:val="24"/>
          <w:szCs w:val="24"/>
        </w:rPr>
      </w:pPr>
    </w:p>
    <w:p w14:paraId="5E2C2C90" w14:textId="605FE540" w:rsidR="0723639E" w:rsidRPr="00AD393D" w:rsidRDefault="00B03410" w:rsidP="6B92079F">
      <w:pPr>
        <w:pBdr>
          <w:top w:val="nil"/>
          <w:left w:val="nil"/>
          <w:bottom w:val="nil"/>
          <w:right w:val="nil"/>
          <w:between w:val="nil"/>
        </w:pBdr>
        <w:spacing w:after="0" w:line="240" w:lineRule="auto"/>
        <w:jc w:val="both"/>
        <w:rPr>
          <w:rFonts w:ascii="Arial" w:eastAsia="Arial" w:hAnsi="Arial" w:cs="Arial"/>
          <w:color w:val="000000" w:themeColor="text1"/>
          <w:sz w:val="24"/>
          <w:szCs w:val="24"/>
        </w:rPr>
      </w:pPr>
      <w:r w:rsidRPr="00AD393D">
        <w:rPr>
          <w:rFonts w:ascii="Arial" w:eastAsia="Arial" w:hAnsi="Arial" w:cs="Arial"/>
          <w:color w:val="000000" w:themeColor="text1"/>
          <w:sz w:val="24"/>
          <w:szCs w:val="24"/>
        </w:rPr>
        <w:t>De igual forma, r</w:t>
      </w:r>
      <w:r w:rsidR="00A76948" w:rsidRPr="00AD393D">
        <w:rPr>
          <w:rFonts w:ascii="Arial" w:eastAsia="Arial" w:hAnsi="Arial" w:cs="Arial"/>
          <w:color w:val="000000" w:themeColor="text1"/>
          <w:sz w:val="24"/>
          <w:szCs w:val="24"/>
        </w:rPr>
        <w:t xml:space="preserve">eportan ejecución </w:t>
      </w:r>
      <w:r w:rsidR="00EE09A4" w:rsidRPr="00AD393D">
        <w:rPr>
          <w:rFonts w:ascii="Arial" w:eastAsia="Arial" w:hAnsi="Arial" w:cs="Arial"/>
          <w:color w:val="000000" w:themeColor="text1"/>
          <w:sz w:val="24"/>
          <w:szCs w:val="24"/>
        </w:rPr>
        <w:t>de</w:t>
      </w:r>
      <w:r w:rsidR="00A76948" w:rsidRPr="00AD393D">
        <w:rPr>
          <w:rFonts w:ascii="Arial" w:eastAsia="Arial" w:hAnsi="Arial" w:cs="Arial"/>
          <w:color w:val="000000" w:themeColor="text1"/>
          <w:sz w:val="24"/>
          <w:szCs w:val="24"/>
        </w:rPr>
        <w:t xml:space="preserve"> los recursos de</w:t>
      </w:r>
      <w:r w:rsidR="00227D8A" w:rsidRPr="00AD393D">
        <w:rPr>
          <w:rFonts w:ascii="Arial" w:eastAsia="Arial" w:hAnsi="Arial" w:cs="Arial"/>
          <w:color w:val="000000" w:themeColor="text1"/>
          <w:sz w:val="24"/>
          <w:szCs w:val="24"/>
        </w:rPr>
        <w:t>l</w:t>
      </w:r>
      <w:r w:rsidR="00A76948" w:rsidRPr="00AD393D">
        <w:rPr>
          <w:rFonts w:ascii="Arial" w:eastAsia="Arial" w:hAnsi="Arial" w:cs="Arial"/>
          <w:color w:val="000000" w:themeColor="text1"/>
          <w:sz w:val="24"/>
          <w:szCs w:val="24"/>
        </w:rPr>
        <w:t xml:space="preserve"> </w:t>
      </w:r>
      <w:r w:rsidR="00227D8A" w:rsidRPr="00AD393D">
        <w:rPr>
          <w:rFonts w:ascii="Arial" w:eastAsia="Arial" w:hAnsi="Arial" w:cs="Arial"/>
          <w:color w:val="000000" w:themeColor="text1"/>
          <w:sz w:val="24"/>
          <w:szCs w:val="24"/>
        </w:rPr>
        <w:t xml:space="preserve">Programa Misional de Funcionamiento: </w:t>
      </w:r>
      <w:r w:rsidR="00227D8A" w:rsidRPr="00AD393D">
        <w:rPr>
          <w:rFonts w:ascii="Arial" w:eastAsia="Arial" w:hAnsi="Arial" w:cs="Arial"/>
          <w:i/>
          <w:iCs/>
          <w:color w:val="000000" w:themeColor="text1"/>
          <w:sz w:val="24"/>
          <w:szCs w:val="24"/>
        </w:rPr>
        <w:t>ATENCIÓN INTEGRAL A LA POBLACIÓN DESPLAZADA EN CUMPLIMIENTO DE LA SENTENCIA T-025 DE 2004 (NO DE PENSIONES)</w:t>
      </w:r>
      <w:r w:rsidR="00227D8A" w:rsidRPr="00AD393D">
        <w:rPr>
          <w:rFonts w:ascii="Arial" w:eastAsia="Arial" w:hAnsi="Arial" w:cs="Arial"/>
          <w:color w:val="000000" w:themeColor="text1"/>
          <w:sz w:val="24"/>
          <w:szCs w:val="24"/>
        </w:rPr>
        <w:t xml:space="preserve"> </w:t>
      </w:r>
      <w:r w:rsidR="00CA0EAD" w:rsidRPr="00AD393D">
        <w:rPr>
          <w:rFonts w:ascii="Arial" w:eastAsia="Arial" w:hAnsi="Arial" w:cs="Arial"/>
          <w:color w:val="000000" w:themeColor="text1"/>
          <w:sz w:val="24"/>
          <w:szCs w:val="24"/>
        </w:rPr>
        <w:t>por valor de</w:t>
      </w:r>
      <w:r w:rsidR="00CA0EAD" w:rsidRPr="00AD393D">
        <w:rPr>
          <w:rFonts w:ascii="Arial" w:eastAsia="Arial" w:hAnsi="Arial" w:cs="Arial"/>
          <w:i/>
          <w:iCs/>
          <w:color w:val="000000" w:themeColor="text1"/>
          <w:sz w:val="24"/>
          <w:szCs w:val="24"/>
        </w:rPr>
        <w:t xml:space="preserve"> </w:t>
      </w:r>
      <w:r w:rsidR="00227D8A" w:rsidRPr="00AD393D">
        <w:rPr>
          <w:rFonts w:ascii="Arial" w:eastAsia="Arial" w:hAnsi="Arial" w:cs="Arial"/>
          <w:color w:val="000000" w:themeColor="text1"/>
          <w:sz w:val="24"/>
          <w:szCs w:val="24"/>
        </w:rPr>
        <w:t>$7.695.</w:t>
      </w:r>
      <w:bookmarkStart w:id="19" w:name="_Int_YIDPnROM"/>
      <w:r w:rsidR="00227D8A" w:rsidRPr="00AD393D">
        <w:rPr>
          <w:rFonts w:ascii="Arial" w:eastAsia="Arial" w:hAnsi="Arial" w:cs="Arial"/>
          <w:color w:val="000000" w:themeColor="text1"/>
          <w:sz w:val="24"/>
          <w:szCs w:val="24"/>
        </w:rPr>
        <w:t>098.699</w:t>
      </w:r>
      <w:r w:rsidR="00C53F3C" w:rsidRPr="00AD393D">
        <w:rPr>
          <w:rFonts w:ascii="Arial" w:eastAsia="Arial" w:hAnsi="Arial" w:cs="Arial"/>
          <w:color w:val="000000" w:themeColor="text1"/>
          <w:sz w:val="24"/>
          <w:szCs w:val="24"/>
        </w:rPr>
        <w:t>.oo</w:t>
      </w:r>
      <w:bookmarkEnd w:id="19"/>
      <w:r w:rsidR="00EE09A4" w:rsidRPr="00AD393D">
        <w:rPr>
          <w:rFonts w:ascii="Arial" w:eastAsia="Arial" w:hAnsi="Arial" w:cs="Arial"/>
          <w:i/>
          <w:iCs/>
          <w:color w:val="000000" w:themeColor="text1"/>
          <w:sz w:val="24"/>
          <w:szCs w:val="24"/>
        </w:rPr>
        <w:t xml:space="preserve"> </w:t>
      </w:r>
      <w:r w:rsidR="00EE09A4" w:rsidRPr="00AD393D">
        <w:rPr>
          <w:rFonts w:ascii="Arial" w:eastAsia="Arial" w:hAnsi="Arial" w:cs="Arial"/>
          <w:color w:val="000000" w:themeColor="text1"/>
          <w:sz w:val="24"/>
          <w:szCs w:val="24"/>
        </w:rPr>
        <w:t>y que sumados con los recursos del programa de fortalecimiento reportan una ejecución</w:t>
      </w:r>
      <w:r w:rsidR="00557130" w:rsidRPr="00AD393D">
        <w:rPr>
          <w:rFonts w:ascii="Arial" w:eastAsia="Arial" w:hAnsi="Arial" w:cs="Arial"/>
          <w:color w:val="000000" w:themeColor="text1"/>
          <w:sz w:val="24"/>
          <w:szCs w:val="24"/>
        </w:rPr>
        <w:t xml:space="preserve"> del 98%.</w:t>
      </w:r>
      <w:r w:rsidR="00981267" w:rsidRPr="00AD393D">
        <w:rPr>
          <w:rFonts w:ascii="Arial" w:eastAsia="Arial" w:hAnsi="Arial" w:cs="Arial"/>
          <w:color w:val="000000" w:themeColor="text1"/>
          <w:sz w:val="24"/>
          <w:szCs w:val="24"/>
        </w:rPr>
        <w:t xml:space="preserve"> </w:t>
      </w:r>
      <w:r w:rsidR="00750B29" w:rsidRPr="00AD393D">
        <w:rPr>
          <w:rFonts w:ascii="Arial" w:eastAsia="Arial" w:hAnsi="Arial" w:cs="Arial"/>
          <w:color w:val="000000" w:themeColor="text1"/>
          <w:sz w:val="24"/>
          <w:szCs w:val="24"/>
        </w:rPr>
        <w:t>Es necesario que se presente la ejecución por programa además del totalizado y s</w:t>
      </w:r>
      <w:r w:rsidR="00981267" w:rsidRPr="00AD393D">
        <w:rPr>
          <w:rFonts w:ascii="Arial" w:eastAsia="Arial" w:hAnsi="Arial" w:cs="Arial"/>
          <w:color w:val="000000" w:themeColor="text1"/>
          <w:sz w:val="24"/>
          <w:szCs w:val="24"/>
        </w:rPr>
        <w:t xml:space="preserve">ería importante que se incluyera </w:t>
      </w:r>
      <w:r w:rsidR="005E4398" w:rsidRPr="00AD393D">
        <w:rPr>
          <w:rFonts w:ascii="Arial" w:eastAsia="Arial" w:hAnsi="Arial" w:cs="Arial"/>
          <w:color w:val="000000" w:themeColor="text1"/>
          <w:sz w:val="24"/>
          <w:szCs w:val="24"/>
        </w:rPr>
        <w:t>la</w:t>
      </w:r>
      <w:r w:rsidR="001B305D" w:rsidRPr="00AD393D">
        <w:rPr>
          <w:rFonts w:ascii="Arial" w:eastAsia="Arial" w:hAnsi="Arial" w:cs="Arial"/>
          <w:color w:val="000000" w:themeColor="text1"/>
          <w:sz w:val="24"/>
          <w:szCs w:val="24"/>
        </w:rPr>
        <w:t xml:space="preserve"> referencia a la</w:t>
      </w:r>
      <w:r w:rsidR="005E4398" w:rsidRPr="00AD393D">
        <w:rPr>
          <w:rFonts w:ascii="Arial" w:eastAsia="Arial" w:hAnsi="Arial" w:cs="Arial"/>
          <w:color w:val="000000" w:themeColor="text1"/>
          <w:sz w:val="24"/>
          <w:szCs w:val="24"/>
        </w:rPr>
        <w:t xml:space="preserve">s partidas presupuestales </w:t>
      </w:r>
      <w:r w:rsidRPr="00AD393D">
        <w:rPr>
          <w:rFonts w:ascii="Arial" w:eastAsia="Arial" w:hAnsi="Arial" w:cs="Arial"/>
          <w:color w:val="000000" w:themeColor="text1"/>
          <w:sz w:val="24"/>
          <w:szCs w:val="24"/>
        </w:rPr>
        <w:t>asignadas</w:t>
      </w:r>
      <w:r w:rsidR="00BB5701" w:rsidRPr="00AD393D">
        <w:rPr>
          <w:rFonts w:ascii="Arial" w:eastAsia="Arial" w:hAnsi="Arial" w:cs="Arial"/>
          <w:color w:val="000000" w:themeColor="text1"/>
          <w:sz w:val="24"/>
          <w:szCs w:val="24"/>
        </w:rPr>
        <w:t>,</w:t>
      </w:r>
      <w:r w:rsidRPr="00AD393D">
        <w:rPr>
          <w:rFonts w:ascii="Arial" w:eastAsia="Arial" w:hAnsi="Arial" w:cs="Arial"/>
          <w:color w:val="000000" w:themeColor="text1"/>
          <w:sz w:val="24"/>
          <w:szCs w:val="24"/>
        </w:rPr>
        <w:t xml:space="preserve"> </w:t>
      </w:r>
      <w:r w:rsidR="005E4398" w:rsidRPr="00AD393D">
        <w:rPr>
          <w:rFonts w:ascii="Arial" w:eastAsia="Arial" w:hAnsi="Arial" w:cs="Arial"/>
          <w:color w:val="000000" w:themeColor="text1"/>
          <w:sz w:val="24"/>
          <w:szCs w:val="24"/>
        </w:rPr>
        <w:t xml:space="preserve">pues en el </w:t>
      </w:r>
      <w:r w:rsidR="005A0473" w:rsidRPr="00AD393D">
        <w:rPr>
          <w:rFonts w:ascii="Arial" w:eastAsia="Arial" w:hAnsi="Arial" w:cs="Arial"/>
          <w:color w:val="000000" w:themeColor="text1"/>
          <w:sz w:val="24"/>
          <w:szCs w:val="24"/>
        </w:rPr>
        <w:t>D</w:t>
      </w:r>
      <w:r w:rsidR="005E4398" w:rsidRPr="00AD393D">
        <w:rPr>
          <w:rFonts w:ascii="Arial" w:eastAsia="Arial" w:hAnsi="Arial" w:cs="Arial"/>
          <w:color w:val="000000" w:themeColor="text1"/>
          <w:sz w:val="24"/>
          <w:szCs w:val="24"/>
        </w:rPr>
        <w:t>ecreto</w:t>
      </w:r>
      <w:r w:rsidR="005A0473" w:rsidRPr="00AD393D">
        <w:rPr>
          <w:rFonts w:ascii="Arial" w:eastAsia="Arial" w:hAnsi="Arial" w:cs="Arial"/>
          <w:color w:val="000000" w:themeColor="text1"/>
          <w:sz w:val="24"/>
          <w:szCs w:val="24"/>
        </w:rPr>
        <w:t xml:space="preserve"> 2590 de 2022</w:t>
      </w:r>
      <w:r w:rsidR="007D196A" w:rsidRPr="00AD393D">
        <w:rPr>
          <w:rFonts w:ascii="Arial" w:eastAsia="Arial" w:hAnsi="Arial" w:cs="Arial"/>
          <w:color w:val="000000" w:themeColor="text1"/>
          <w:sz w:val="24"/>
          <w:szCs w:val="24"/>
        </w:rPr>
        <w:t xml:space="preserve"> -</w:t>
      </w:r>
      <w:r w:rsidR="005E4398" w:rsidRPr="00AD393D">
        <w:rPr>
          <w:rFonts w:ascii="Arial" w:eastAsia="Arial" w:hAnsi="Arial" w:cs="Arial"/>
          <w:color w:val="000000" w:themeColor="text1"/>
          <w:sz w:val="24"/>
          <w:szCs w:val="24"/>
        </w:rPr>
        <w:t xml:space="preserve"> </w:t>
      </w:r>
      <w:r w:rsidR="00E33FF6" w:rsidRPr="00AD393D">
        <w:rPr>
          <w:rFonts w:ascii="Arial" w:eastAsia="Arial" w:hAnsi="Arial" w:cs="Arial"/>
          <w:color w:val="000000" w:themeColor="text1"/>
          <w:sz w:val="24"/>
          <w:szCs w:val="24"/>
        </w:rPr>
        <w:t>D</w:t>
      </w:r>
      <w:r w:rsidR="005A0473" w:rsidRPr="00AD393D">
        <w:rPr>
          <w:rFonts w:ascii="Arial" w:eastAsia="Arial" w:hAnsi="Arial" w:cs="Arial"/>
          <w:color w:val="000000" w:themeColor="text1"/>
          <w:sz w:val="24"/>
          <w:szCs w:val="24"/>
        </w:rPr>
        <w:t>ecreto de liquidación</w:t>
      </w:r>
      <w:r w:rsidR="005E4398" w:rsidRPr="00AD393D">
        <w:rPr>
          <w:rFonts w:ascii="Arial" w:eastAsia="Arial" w:hAnsi="Arial" w:cs="Arial"/>
          <w:color w:val="000000" w:themeColor="text1"/>
          <w:sz w:val="24"/>
          <w:szCs w:val="24"/>
        </w:rPr>
        <w:t xml:space="preserve"> presupuestal </w:t>
      </w:r>
      <w:r w:rsidR="007D196A" w:rsidRPr="00AD393D">
        <w:rPr>
          <w:rFonts w:ascii="Arial" w:eastAsia="Arial" w:hAnsi="Arial" w:cs="Arial"/>
          <w:color w:val="000000" w:themeColor="text1"/>
          <w:sz w:val="24"/>
          <w:szCs w:val="24"/>
        </w:rPr>
        <w:t>del 2023 el r</w:t>
      </w:r>
      <w:r w:rsidR="007D719F" w:rsidRPr="00AD393D">
        <w:rPr>
          <w:rFonts w:ascii="Arial" w:eastAsia="Arial" w:hAnsi="Arial" w:cs="Arial"/>
          <w:color w:val="000000" w:themeColor="text1"/>
          <w:sz w:val="24"/>
          <w:szCs w:val="24"/>
        </w:rPr>
        <w:t xml:space="preserve">ubro con este mismo nombre </w:t>
      </w:r>
      <w:r w:rsidR="001B305D" w:rsidRPr="00AD393D">
        <w:rPr>
          <w:rFonts w:ascii="Arial" w:eastAsia="Arial" w:hAnsi="Arial" w:cs="Arial"/>
          <w:color w:val="000000" w:themeColor="text1"/>
          <w:sz w:val="24"/>
          <w:szCs w:val="24"/>
        </w:rPr>
        <w:t xml:space="preserve">tenía una asignación </w:t>
      </w:r>
      <w:r w:rsidR="00AF2C4F" w:rsidRPr="00AD393D">
        <w:rPr>
          <w:rFonts w:ascii="Arial" w:eastAsia="Arial" w:hAnsi="Arial" w:cs="Arial"/>
          <w:color w:val="000000" w:themeColor="text1"/>
          <w:sz w:val="24"/>
          <w:szCs w:val="24"/>
        </w:rPr>
        <w:t>de $27.306.100.000</w:t>
      </w:r>
      <w:r w:rsidR="00C53F3C" w:rsidRPr="00AD393D">
        <w:rPr>
          <w:rFonts w:ascii="Arial" w:eastAsia="Arial" w:hAnsi="Arial" w:cs="Arial"/>
          <w:color w:val="000000" w:themeColor="text1"/>
          <w:sz w:val="24"/>
          <w:szCs w:val="24"/>
        </w:rPr>
        <w:t>.oo</w:t>
      </w:r>
      <w:r w:rsidR="00EC5811" w:rsidRPr="00AD393D">
        <w:rPr>
          <w:rFonts w:ascii="Arial" w:eastAsia="Arial" w:hAnsi="Arial" w:cs="Arial"/>
          <w:color w:val="000000" w:themeColor="text1"/>
          <w:sz w:val="24"/>
          <w:szCs w:val="24"/>
        </w:rPr>
        <w:t xml:space="preserve"> </w:t>
      </w:r>
      <w:r w:rsidR="00750B29" w:rsidRPr="00AD393D">
        <w:rPr>
          <w:rFonts w:ascii="Arial" w:eastAsia="Arial" w:hAnsi="Arial" w:cs="Arial"/>
          <w:color w:val="000000" w:themeColor="text1"/>
          <w:sz w:val="24"/>
          <w:szCs w:val="24"/>
        </w:rPr>
        <w:t xml:space="preserve">y si bien en los reportes de ejecución del Ministerio del Interior se establece que el resto de los recursos </w:t>
      </w:r>
      <w:r w:rsidR="00A54045" w:rsidRPr="00AD393D">
        <w:rPr>
          <w:rFonts w:ascii="Arial" w:eastAsia="Arial" w:hAnsi="Arial" w:cs="Arial"/>
          <w:color w:val="000000" w:themeColor="text1"/>
          <w:sz w:val="24"/>
          <w:szCs w:val="24"/>
        </w:rPr>
        <w:t xml:space="preserve">se destinaron a las direcciones de Asuntos para las comunidades, Negras, Afrocolombianas, Raizales, y Palenqueras, Asuntos Indígenas, ROM, Minorías y </w:t>
      </w:r>
      <w:r w:rsidR="00A54045" w:rsidRPr="00AD393D">
        <w:rPr>
          <w:rFonts w:ascii="Arial" w:eastAsia="Arial" w:hAnsi="Arial" w:cs="Arial"/>
          <w:color w:val="000000" w:themeColor="text1"/>
          <w:sz w:val="24"/>
          <w:szCs w:val="24"/>
        </w:rPr>
        <w:lastRenderedPageBreak/>
        <w:t>Derechos Humanos</w:t>
      </w:r>
      <w:r w:rsidR="00A262C0" w:rsidRPr="00AD393D">
        <w:rPr>
          <w:rFonts w:ascii="Arial" w:eastAsia="Arial" w:hAnsi="Arial" w:cs="Arial"/>
          <w:color w:val="000000" w:themeColor="text1"/>
          <w:sz w:val="24"/>
          <w:szCs w:val="24"/>
        </w:rPr>
        <w:t xml:space="preserve"> ($</w:t>
      </w:r>
      <w:r w:rsidR="00C01BE4" w:rsidRPr="00AD393D">
        <w:rPr>
          <w:rFonts w:ascii="Arial" w:eastAsia="Arial" w:hAnsi="Arial" w:cs="Arial"/>
          <w:color w:val="000000" w:themeColor="text1"/>
          <w:sz w:val="24"/>
          <w:szCs w:val="24"/>
        </w:rPr>
        <w:t>22.419.000.000.oo)</w:t>
      </w:r>
      <w:r w:rsidR="00AD0723" w:rsidRPr="00AD393D">
        <w:rPr>
          <w:rStyle w:val="Refdenotaalpie"/>
          <w:rFonts w:ascii="Arial" w:eastAsia="Arial" w:hAnsi="Arial" w:cs="Arial"/>
          <w:color w:val="000000" w:themeColor="text1"/>
          <w:sz w:val="24"/>
          <w:szCs w:val="24"/>
        </w:rPr>
        <w:footnoteReference w:id="11"/>
      </w:r>
      <w:r w:rsidR="00C01BE4" w:rsidRPr="00AD393D">
        <w:rPr>
          <w:rFonts w:ascii="Arial" w:eastAsia="Arial" w:hAnsi="Arial" w:cs="Arial"/>
          <w:color w:val="000000" w:themeColor="text1"/>
          <w:sz w:val="24"/>
          <w:szCs w:val="24"/>
        </w:rPr>
        <w:t xml:space="preserve"> esta información no se encuentra en </w:t>
      </w:r>
      <w:r w:rsidR="00AD0723" w:rsidRPr="00AD393D">
        <w:rPr>
          <w:rFonts w:ascii="Arial" w:eastAsia="Arial" w:hAnsi="Arial" w:cs="Arial"/>
          <w:color w:val="000000" w:themeColor="text1"/>
          <w:sz w:val="24"/>
          <w:szCs w:val="24"/>
        </w:rPr>
        <w:t>el documento de rendición de cuentas.</w:t>
      </w:r>
    </w:p>
    <w:p w14:paraId="3A570A68" w14:textId="77777777" w:rsidR="00B714BC" w:rsidRPr="00AD393D" w:rsidRDefault="00B714BC" w:rsidP="0723639E">
      <w:pPr>
        <w:pBdr>
          <w:top w:val="nil"/>
          <w:left w:val="nil"/>
          <w:bottom w:val="nil"/>
          <w:right w:val="nil"/>
          <w:between w:val="nil"/>
        </w:pBdr>
        <w:spacing w:after="0" w:line="240" w:lineRule="auto"/>
        <w:jc w:val="both"/>
        <w:rPr>
          <w:rFonts w:ascii="Arial" w:eastAsia="Arial" w:hAnsi="Arial" w:cs="Arial"/>
          <w:color w:val="000000" w:themeColor="text1"/>
          <w:sz w:val="24"/>
          <w:szCs w:val="24"/>
        </w:rPr>
      </w:pPr>
    </w:p>
    <w:p w14:paraId="35C58D8C" w14:textId="22F85AC4" w:rsidR="00EA6DF4" w:rsidRPr="00AD393D" w:rsidRDefault="0041157F" w:rsidP="6B92079F">
      <w:pPr>
        <w:pBdr>
          <w:top w:val="nil"/>
          <w:left w:val="nil"/>
          <w:bottom w:val="nil"/>
          <w:right w:val="nil"/>
          <w:between w:val="nil"/>
        </w:pBdr>
        <w:spacing w:after="0" w:line="240" w:lineRule="auto"/>
        <w:jc w:val="both"/>
        <w:rPr>
          <w:rFonts w:ascii="Arial" w:eastAsia="Arial" w:hAnsi="Arial" w:cs="Arial"/>
          <w:color w:val="000000" w:themeColor="text1"/>
          <w:sz w:val="24"/>
          <w:szCs w:val="24"/>
        </w:rPr>
      </w:pPr>
      <w:r w:rsidRPr="00AD393D">
        <w:rPr>
          <w:rFonts w:ascii="Arial" w:eastAsia="Arial" w:hAnsi="Arial" w:cs="Arial"/>
          <w:color w:val="000000" w:themeColor="text1"/>
          <w:sz w:val="24"/>
          <w:szCs w:val="24"/>
          <w:u w:val="single"/>
        </w:rPr>
        <w:t xml:space="preserve">El grupo interno de trabajo equipo de paz, </w:t>
      </w:r>
      <w:r w:rsidR="00C53523" w:rsidRPr="00AD393D">
        <w:rPr>
          <w:rFonts w:ascii="Arial" w:eastAsia="Arial" w:hAnsi="Arial" w:cs="Arial"/>
          <w:color w:val="000000" w:themeColor="text1"/>
          <w:sz w:val="24"/>
          <w:szCs w:val="24"/>
        </w:rPr>
        <w:t>es una dependencia nueva</w:t>
      </w:r>
      <w:r w:rsidR="00E604F9" w:rsidRPr="00AD393D">
        <w:rPr>
          <w:rFonts w:ascii="Arial" w:eastAsia="Arial" w:hAnsi="Arial" w:cs="Arial"/>
          <w:color w:val="000000" w:themeColor="text1"/>
          <w:sz w:val="24"/>
          <w:szCs w:val="24"/>
        </w:rPr>
        <w:t xml:space="preserve"> que se creó con la Resolución </w:t>
      </w:r>
      <w:r w:rsidR="009E560A" w:rsidRPr="00AD393D">
        <w:rPr>
          <w:rFonts w:ascii="Arial" w:eastAsia="Arial" w:hAnsi="Arial" w:cs="Arial"/>
          <w:color w:val="000000" w:themeColor="text1"/>
          <w:sz w:val="24"/>
          <w:szCs w:val="24"/>
        </w:rPr>
        <w:t xml:space="preserve">1996 del 14 de noviembre de 2023 (resolución no </w:t>
      </w:r>
      <w:r w:rsidR="00303463" w:rsidRPr="00AD393D">
        <w:rPr>
          <w:rFonts w:ascii="Arial" w:eastAsia="Arial" w:hAnsi="Arial" w:cs="Arial"/>
          <w:color w:val="000000" w:themeColor="text1"/>
          <w:sz w:val="24"/>
          <w:szCs w:val="24"/>
        </w:rPr>
        <w:t>disponible de forma pública</w:t>
      </w:r>
      <w:r w:rsidR="0084305F" w:rsidRPr="00AD393D">
        <w:rPr>
          <w:rStyle w:val="Refdenotaalpie"/>
          <w:rFonts w:ascii="Arial" w:eastAsia="Arial" w:hAnsi="Arial" w:cs="Arial"/>
          <w:color w:val="000000" w:themeColor="text1"/>
          <w:sz w:val="24"/>
          <w:szCs w:val="24"/>
        </w:rPr>
        <w:footnoteReference w:id="12"/>
      </w:r>
      <w:r w:rsidR="0084305F" w:rsidRPr="00AD393D">
        <w:rPr>
          <w:rFonts w:ascii="Arial" w:eastAsia="Arial" w:hAnsi="Arial" w:cs="Arial"/>
          <w:color w:val="000000" w:themeColor="text1"/>
          <w:sz w:val="24"/>
          <w:szCs w:val="24"/>
        </w:rPr>
        <w:t>)</w:t>
      </w:r>
      <w:r w:rsidR="009E560A" w:rsidRPr="00AD393D">
        <w:rPr>
          <w:rFonts w:ascii="Arial" w:eastAsia="Arial" w:hAnsi="Arial" w:cs="Arial"/>
          <w:color w:val="000000" w:themeColor="text1"/>
          <w:sz w:val="24"/>
          <w:szCs w:val="24"/>
        </w:rPr>
        <w:t xml:space="preserve"> </w:t>
      </w:r>
      <w:r w:rsidR="00303463" w:rsidRPr="00AD393D">
        <w:rPr>
          <w:rFonts w:ascii="Arial" w:eastAsia="Arial" w:hAnsi="Arial" w:cs="Arial"/>
          <w:color w:val="000000" w:themeColor="text1"/>
          <w:sz w:val="24"/>
          <w:szCs w:val="24"/>
        </w:rPr>
        <w:t>este grupo reportó</w:t>
      </w:r>
      <w:r w:rsidR="007E0123" w:rsidRPr="00AD393D">
        <w:rPr>
          <w:rFonts w:ascii="Arial" w:eastAsia="Arial" w:hAnsi="Arial" w:cs="Arial"/>
          <w:color w:val="000000" w:themeColor="text1"/>
          <w:sz w:val="24"/>
          <w:szCs w:val="24"/>
        </w:rPr>
        <w:t xml:space="preserve"> labores de acompañamiento a varios programas existentes y la propuesta de un</w:t>
      </w:r>
      <w:r w:rsidR="005560B1" w:rsidRPr="00AD393D">
        <w:rPr>
          <w:rFonts w:ascii="Arial" w:eastAsia="Arial" w:hAnsi="Arial" w:cs="Arial"/>
          <w:color w:val="000000" w:themeColor="text1"/>
          <w:sz w:val="24"/>
          <w:szCs w:val="24"/>
        </w:rPr>
        <w:t xml:space="preserve"> nuevo proyecto de </w:t>
      </w:r>
      <w:r w:rsidR="005560B1" w:rsidRPr="00AD393D">
        <w:rPr>
          <w:rFonts w:ascii="Arial" w:eastAsia="Arial" w:hAnsi="Arial" w:cs="Arial"/>
          <w:i/>
          <w:iCs/>
          <w:color w:val="000000" w:themeColor="text1"/>
          <w:sz w:val="24"/>
          <w:szCs w:val="24"/>
        </w:rPr>
        <w:t>"Mejoramiento de la efectividad de los Programas de Construcción de Paz liderados por el Ministerio del Interior</w:t>
      </w:r>
      <w:r w:rsidR="005560B1" w:rsidRPr="00AD393D">
        <w:rPr>
          <w:rFonts w:ascii="Arial" w:eastAsia="Arial" w:hAnsi="Arial" w:cs="Arial"/>
          <w:color w:val="000000" w:themeColor="text1"/>
          <w:sz w:val="24"/>
          <w:szCs w:val="24"/>
        </w:rPr>
        <w:t>", que empezarán a ejecutar en 2024.</w:t>
      </w:r>
    </w:p>
    <w:p w14:paraId="3E093A6B" w14:textId="77777777" w:rsidR="00557130" w:rsidRPr="00AD393D" w:rsidRDefault="00557130" w:rsidP="0723639E">
      <w:pPr>
        <w:pBdr>
          <w:top w:val="nil"/>
          <w:left w:val="nil"/>
          <w:bottom w:val="nil"/>
          <w:right w:val="nil"/>
          <w:between w:val="nil"/>
        </w:pBdr>
        <w:spacing w:after="0" w:line="240" w:lineRule="auto"/>
        <w:jc w:val="both"/>
        <w:rPr>
          <w:rFonts w:ascii="Arial" w:eastAsia="Arial" w:hAnsi="Arial" w:cs="Arial"/>
          <w:color w:val="000000" w:themeColor="text1"/>
          <w:sz w:val="24"/>
          <w:szCs w:val="24"/>
        </w:rPr>
      </w:pPr>
    </w:p>
    <w:p w14:paraId="51F2BE0B" w14:textId="1B45C1B1" w:rsidR="002E21CF" w:rsidRPr="00AD393D" w:rsidRDefault="00845418" w:rsidP="6B92079F">
      <w:pPr>
        <w:pBdr>
          <w:top w:val="nil"/>
          <w:left w:val="nil"/>
          <w:bottom w:val="nil"/>
          <w:right w:val="nil"/>
          <w:between w:val="nil"/>
        </w:pBdr>
        <w:spacing w:after="0" w:line="240" w:lineRule="auto"/>
        <w:jc w:val="both"/>
        <w:rPr>
          <w:rFonts w:ascii="Arial" w:eastAsia="Arial" w:hAnsi="Arial" w:cs="Arial"/>
          <w:color w:val="000000" w:themeColor="text1"/>
          <w:sz w:val="24"/>
          <w:szCs w:val="24"/>
        </w:rPr>
      </w:pPr>
      <w:r w:rsidRPr="00AD393D">
        <w:rPr>
          <w:rFonts w:ascii="Arial" w:eastAsia="Arial" w:hAnsi="Arial" w:cs="Arial"/>
          <w:color w:val="000000" w:themeColor="text1"/>
          <w:sz w:val="24"/>
          <w:szCs w:val="24"/>
          <w:u w:val="single"/>
        </w:rPr>
        <w:t>La oficina asesora de planeación</w:t>
      </w:r>
      <w:r w:rsidRPr="00AD393D">
        <w:rPr>
          <w:rFonts w:ascii="Arial" w:eastAsia="Arial" w:hAnsi="Arial" w:cs="Arial"/>
          <w:color w:val="000000" w:themeColor="text1"/>
          <w:sz w:val="24"/>
          <w:szCs w:val="24"/>
        </w:rPr>
        <w:t xml:space="preserve"> </w:t>
      </w:r>
      <w:r w:rsidR="00CE1295" w:rsidRPr="00AD393D">
        <w:rPr>
          <w:rFonts w:ascii="Arial" w:eastAsia="Arial" w:hAnsi="Arial" w:cs="Arial"/>
          <w:color w:val="000000" w:themeColor="text1"/>
          <w:sz w:val="24"/>
          <w:szCs w:val="24"/>
        </w:rPr>
        <w:t>realizó capacitaciones para 148 personas del Ministerio en planeación y gestión,</w:t>
      </w:r>
      <w:r w:rsidR="007C0784" w:rsidRPr="00AD393D">
        <w:rPr>
          <w:rFonts w:ascii="Arial" w:eastAsia="Arial" w:hAnsi="Arial" w:cs="Arial"/>
          <w:color w:val="000000" w:themeColor="text1"/>
          <w:sz w:val="24"/>
          <w:szCs w:val="24"/>
        </w:rPr>
        <w:t xml:space="preserve"> realizaron el seguimiento de 32 indicadores</w:t>
      </w:r>
      <w:r w:rsidR="00F25394" w:rsidRPr="00AD393D">
        <w:rPr>
          <w:rFonts w:ascii="Arial" w:eastAsia="Arial" w:hAnsi="Arial" w:cs="Arial"/>
          <w:color w:val="000000" w:themeColor="text1"/>
          <w:sz w:val="24"/>
          <w:szCs w:val="24"/>
        </w:rPr>
        <w:t xml:space="preserve"> al igual que 10 seguimientos mensuales</w:t>
      </w:r>
      <w:r w:rsidR="00034040" w:rsidRPr="00AD393D">
        <w:rPr>
          <w:rFonts w:ascii="Arial" w:eastAsia="Arial" w:hAnsi="Arial" w:cs="Arial"/>
          <w:color w:val="000000" w:themeColor="text1"/>
          <w:sz w:val="24"/>
          <w:szCs w:val="24"/>
        </w:rPr>
        <w:t xml:space="preserve"> a la ejecución presupuestal del Ministerio.</w:t>
      </w:r>
      <w:r w:rsidR="007C5752" w:rsidRPr="00AD393D">
        <w:rPr>
          <w:rFonts w:ascii="Arial" w:eastAsia="Arial" w:hAnsi="Arial" w:cs="Arial"/>
          <w:color w:val="000000" w:themeColor="text1"/>
          <w:sz w:val="24"/>
          <w:szCs w:val="24"/>
        </w:rPr>
        <w:t xml:space="preserve"> Esta oficina reportó una apropiación de $</w:t>
      </w:r>
      <w:r w:rsidR="00AF5FE4" w:rsidRPr="00AD393D">
        <w:rPr>
          <w:rFonts w:ascii="Arial" w:eastAsia="Arial" w:hAnsi="Arial" w:cs="Arial"/>
          <w:color w:val="000000" w:themeColor="text1"/>
          <w:sz w:val="24"/>
          <w:szCs w:val="24"/>
        </w:rPr>
        <w:t>3.712.</w:t>
      </w:r>
      <w:bookmarkStart w:id="20" w:name="_Int_a2pH0bS8"/>
      <w:r w:rsidR="00AF5FE4" w:rsidRPr="00AD393D">
        <w:rPr>
          <w:rFonts w:ascii="Arial" w:eastAsia="Arial" w:hAnsi="Arial" w:cs="Arial"/>
          <w:color w:val="000000" w:themeColor="text1"/>
          <w:sz w:val="24"/>
          <w:szCs w:val="24"/>
        </w:rPr>
        <w:t>000.000.oo</w:t>
      </w:r>
      <w:bookmarkEnd w:id="20"/>
      <w:r w:rsidR="00AF5FE4" w:rsidRPr="00AD393D">
        <w:rPr>
          <w:rFonts w:ascii="Arial" w:eastAsia="Arial" w:hAnsi="Arial" w:cs="Arial"/>
          <w:color w:val="000000" w:themeColor="text1"/>
          <w:sz w:val="24"/>
          <w:szCs w:val="24"/>
        </w:rPr>
        <w:t xml:space="preserve"> para la vigencia de 2023 y tenía una ejecución del 73% a diciembre de ese mismo año</w:t>
      </w:r>
      <w:r w:rsidR="004B777E" w:rsidRPr="00AD393D">
        <w:rPr>
          <w:rFonts w:ascii="Arial" w:eastAsia="Arial" w:hAnsi="Arial" w:cs="Arial"/>
          <w:color w:val="000000" w:themeColor="text1"/>
          <w:sz w:val="24"/>
          <w:szCs w:val="24"/>
          <w:vertAlign w:val="superscript"/>
        </w:rPr>
        <w:footnoteReference w:id="13"/>
      </w:r>
      <w:r w:rsidR="00AF5FE4" w:rsidRPr="00AD393D">
        <w:rPr>
          <w:rFonts w:ascii="Arial" w:eastAsia="Arial" w:hAnsi="Arial" w:cs="Arial"/>
          <w:color w:val="000000" w:themeColor="text1"/>
          <w:sz w:val="24"/>
          <w:szCs w:val="24"/>
        </w:rPr>
        <w:t>.</w:t>
      </w:r>
    </w:p>
    <w:p w14:paraId="2199D373" w14:textId="77777777" w:rsidR="00CD4DAD" w:rsidRPr="00AD393D" w:rsidRDefault="00CD4DAD" w:rsidP="0723639E">
      <w:pPr>
        <w:pBdr>
          <w:top w:val="nil"/>
          <w:left w:val="nil"/>
          <w:bottom w:val="nil"/>
          <w:right w:val="nil"/>
          <w:between w:val="nil"/>
        </w:pBdr>
        <w:spacing w:after="0" w:line="240" w:lineRule="auto"/>
        <w:jc w:val="both"/>
        <w:rPr>
          <w:rFonts w:ascii="Arial" w:eastAsia="Arial" w:hAnsi="Arial" w:cs="Arial"/>
          <w:color w:val="000000" w:themeColor="text1"/>
          <w:sz w:val="24"/>
          <w:szCs w:val="24"/>
        </w:rPr>
      </w:pPr>
    </w:p>
    <w:p w14:paraId="498D444A" w14:textId="44C4C74A" w:rsidR="00CD4DAD" w:rsidRPr="00AD393D" w:rsidRDefault="00CD4DAD" w:rsidP="6B92079F">
      <w:pPr>
        <w:pBdr>
          <w:top w:val="nil"/>
          <w:left w:val="nil"/>
          <w:bottom w:val="nil"/>
          <w:right w:val="nil"/>
          <w:between w:val="nil"/>
        </w:pBdr>
        <w:spacing w:after="0" w:line="240" w:lineRule="auto"/>
        <w:jc w:val="both"/>
        <w:rPr>
          <w:rFonts w:ascii="Arial" w:eastAsia="Arial" w:hAnsi="Arial" w:cs="Arial"/>
          <w:color w:val="000000" w:themeColor="text1"/>
          <w:sz w:val="24"/>
          <w:szCs w:val="24"/>
        </w:rPr>
      </w:pPr>
      <w:r w:rsidRPr="00AD393D">
        <w:rPr>
          <w:rFonts w:ascii="Arial" w:eastAsia="Arial" w:hAnsi="Arial" w:cs="Arial"/>
          <w:color w:val="000000" w:themeColor="text1"/>
          <w:sz w:val="24"/>
          <w:szCs w:val="24"/>
          <w:u w:val="single"/>
        </w:rPr>
        <w:t xml:space="preserve">La oficina </w:t>
      </w:r>
      <w:r w:rsidR="004D2407" w:rsidRPr="00AD393D">
        <w:rPr>
          <w:rFonts w:ascii="Arial" w:eastAsia="Arial" w:hAnsi="Arial" w:cs="Arial"/>
          <w:color w:val="000000" w:themeColor="text1"/>
          <w:sz w:val="24"/>
          <w:szCs w:val="24"/>
          <w:u w:val="single"/>
        </w:rPr>
        <w:t xml:space="preserve">de información pública </w:t>
      </w:r>
      <w:r w:rsidR="004D2407" w:rsidRPr="00AD393D">
        <w:rPr>
          <w:rFonts w:ascii="Arial" w:eastAsia="Arial" w:hAnsi="Arial" w:cs="Arial"/>
          <w:color w:val="000000" w:themeColor="text1"/>
          <w:sz w:val="24"/>
          <w:szCs w:val="24"/>
        </w:rPr>
        <w:t xml:space="preserve">reportó </w:t>
      </w:r>
      <w:r w:rsidR="00867EA7" w:rsidRPr="00AD393D">
        <w:rPr>
          <w:rFonts w:ascii="Arial" w:eastAsia="Arial" w:hAnsi="Arial" w:cs="Arial"/>
          <w:color w:val="000000" w:themeColor="text1"/>
          <w:sz w:val="24"/>
          <w:szCs w:val="24"/>
        </w:rPr>
        <w:t>que formularon e implementaron la estrategia de transformación digital del Ministerio del Interior</w:t>
      </w:r>
      <w:r w:rsidR="007B029F" w:rsidRPr="00AD393D">
        <w:rPr>
          <w:rFonts w:ascii="Arial" w:eastAsia="Arial" w:hAnsi="Arial" w:cs="Arial"/>
          <w:color w:val="000000" w:themeColor="text1"/>
          <w:sz w:val="24"/>
          <w:szCs w:val="24"/>
        </w:rPr>
        <w:t xml:space="preserve"> con una inversión de $4.040.</w:t>
      </w:r>
      <w:bookmarkStart w:id="21" w:name="_Int_beNhVDfW"/>
      <w:r w:rsidR="007B029F" w:rsidRPr="00AD393D">
        <w:rPr>
          <w:rFonts w:ascii="Arial" w:eastAsia="Arial" w:hAnsi="Arial" w:cs="Arial"/>
          <w:color w:val="000000" w:themeColor="text1"/>
          <w:sz w:val="24"/>
          <w:szCs w:val="24"/>
        </w:rPr>
        <w:t>213.541.oo</w:t>
      </w:r>
      <w:bookmarkEnd w:id="21"/>
      <w:r w:rsidR="00036917" w:rsidRPr="00AD393D">
        <w:rPr>
          <w:rFonts w:ascii="Arial" w:eastAsia="Arial" w:hAnsi="Arial" w:cs="Arial"/>
          <w:color w:val="000000" w:themeColor="text1"/>
          <w:sz w:val="24"/>
          <w:szCs w:val="24"/>
        </w:rPr>
        <w:t xml:space="preserve">, de igual forma realizaron actividades de relacionamiento con la ciudadanía </w:t>
      </w:r>
      <w:r w:rsidR="0059482A" w:rsidRPr="00AD393D">
        <w:rPr>
          <w:rFonts w:ascii="Arial" w:eastAsia="Arial" w:hAnsi="Arial" w:cs="Arial"/>
          <w:color w:val="000000" w:themeColor="text1"/>
          <w:sz w:val="24"/>
          <w:szCs w:val="24"/>
        </w:rPr>
        <w:t>con un total de 14 eventos y 1.449 personas atendidas</w:t>
      </w:r>
      <w:r w:rsidR="00945471" w:rsidRPr="00AD393D">
        <w:rPr>
          <w:rFonts w:ascii="Arial" w:eastAsia="Arial" w:hAnsi="Arial" w:cs="Arial"/>
          <w:color w:val="000000" w:themeColor="text1"/>
          <w:sz w:val="24"/>
          <w:szCs w:val="24"/>
        </w:rPr>
        <w:t xml:space="preserve"> con una inversión de $1.048.</w:t>
      </w:r>
      <w:bookmarkStart w:id="22" w:name="_Int_4N3mGjpO"/>
      <w:r w:rsidR="00945471" w:rsidRPr="00AD393D">
        <w:rPr>
          <w:rFonts w:ascii="Arial" w:eastAsia="Arial" w:hAnsi="Arial" w:cs="Arial"/>
          <w:color w:val="000000" w:themeColor="text1"/>
          <w:sz w:val="24"/>
          <w:szCs w:val="24"/>
        </w:rPr>
        <w:t>222.568.oo</w:t>
      </w:r>
      <w:bookmarkEnd w:id="22"/>
      <w:r w:rsidR="00945471" w:rsidRPr="00AD393D">
        <w:rPr>
          <w:rFonts w:ascii="Arial" w:eastAsia="Arial" w:hAnsi="Arial" w:cs="Arial"/>
          <w:color w:val="000000" w:themeColor="text1"/>
          <w:sz w:val="24"/>
          <w:szCs w:val="24"/>
        </w:rPr>
        <w:t xml:space="preserve">. Por último, </w:t>
      </w:r>
      <w:r w:rsidR="004F381A" w:rsidRPr="00AD393D">
        <w:rPr>
          <w:rFonts w:ascii="Arial" w:eastAsia="Arial" w:hAnsi="Arial" w:cs="Arial"/>
          <w:color w:val="000000" w:themeColor="text1"/>
          <w:sz w:val="24"/>
          <w:szCs w:val="24"/>
        </w:rPr>
        <w:t xml:space="preserve">la ejecución del plan de medios reportó un total de 13 campañas institucionales, 3 campañas de conmemoración, y 1 resumen de acciones del Ministerio del Interior por valor de </w:t>
      </w:r>
      <w:r w:rsidR="00512928" w:rsidRPr="00AD393D">
        <w:rPr>
          <w:rFonts w:ascii="Arial" w:eastAsia="Arial" w:hAnsi="Arial" w:cs="Arial"/>
          <w:color w:val="000000" w:themeColor="text1"/>
          <w:sz w:val="24"/>
          <w:szCs w:val="24"/>
        </w:rPr>
        <w:t>$1.753.</w:t>
      </w:r>
      <w:bookmarkStart w:id="23" w:name="_Int_Psu50YW5"/>
      <w:r w:rsidR="00512928" w:rsidRPr="00AD393D">
        <w:rPr>
          <w:rFonts w:ascii="Arial" w:eastAsia="Arial" w:hAnsi="Arial" w:cs="Arial"/>
          <w:color w:val="000000" w:themeColor="text1"/>
          <w:sz w:val="24"/>
          <w:szCs w:val="24"/>
        </w:rPr>
        <w:t>167.947.oo</w:t>
      </w:r>
      <w:bookmarkEnd w:id="23"/>
      <w:r w:rsidR="00512928" w:rsidRPr="00AD393D">
        <w:rPr>
          <w:rFonts w:ascii="Arial" w:eastAsia="Arial" w:hAnsi="Arial" w:cs="Arial"/>
          <w:color w:val="000000" w:themeColor="text1"/>
          <w:sz w:val="24"/>
          <w:szCs w:val="24"/>
        </w:rPr>
        <w:t xml:space="preserve">. </w:t>
      </w:r>
      <w:r w:rsidR="002F77FC" w:rsidRPr="00AD393D">
        <w:rPr>
          <w:rFonts w:ascii="Arial" w:eastAsia="Arial" w:hAnsi="Arial" w:cs="Arial"/>
          <w:color w:val="000000" w:themeColor="text1"/>
          <w:sz w:val="24"/>
          <w:szCs w:val="24"/>
        </w:rPr>
        <w:t xml:space="preserve">Se reportan múltiples avances </w:t>
      </w:r>
      <w:r w:rsidR="00076D02" w:rsidRPr="00AD393D">
        <w:rPr>
          <w:rFonts w:ascii="Arial" w:eastAsia="Arial" w:hAnsi="Arial" w:cs="Arial"/>
          <w:color w:val="000000" w:themeColor="text1"/>
          <w:sz w:val="24"/>
          <w:szCs w:val="24"/>
        </w:rPr>
        <w:t>en temas de procedimientos internos, estructuración de proyectos</w:t>
      </w:r>
      <w:r w:rsidR="008460C7" w:rsidRPr="00AD393D">
        <w:rPr>
          <w:rFonts w:ascii="Arial" w:eastAsia="Arial" w:hAnsi="Arial" w:cs="Arial"/>
          <w:color w:val="000000" w:themeColor="text1"/>
          <w:sz w:val="24"/>
          <w:szCs w:val="24"/>
        </w:rPr>
        <w:t>, creación de memoria institucional y sistemas de información, al igual que la creación del portafolio de servicios del Ministerio.</w:t>
      </w:r>
      <w:r w:rsidR="004B198E" w:rsidRPr="00AD393D">
        <w:rPr>
          <w:rFonts w:ascii="Arial" w:eastAsia="Arial" w:hAnsi="Arial" w:cs="Arial"/>
          <w:color w:val="000000" w:themeColor="text1"/>
          <w:sz w:val="24"/>
          <w:szCs w:val="24"/>
        </w:rPr>
        <w:t xml:space="preserve"> La oficina de información pública tenía una apropiación de $</w:t>
      </w:r>
      <w:r w:rsidR="00651F13" w:rsidRPr="00AD393D">
        <w:rPr>
          <w:rFonts w:ascii="Arial" w:eastAsia="Arial" w:hAnsi="Arial" w:cs="Arial"/>
          <w:color w:val="000000" w:themeColor="text1"/>
          <w:sz w:val="24"/>
          <w:szCs w:val="24"/>
        </w:rPr>
        <w:t>5.106.</w:t>
      </w:r>
      <w:bookmarkStart w:id="24" w:name="_Int_tD7BLO3E"/>
      <w:r w:rsidR="00651F13" w:rsidRPr="00AD393D">
        <w:rPr>
          <w:rFonts w:ascii="Arial" w:eastAsia="Arial" w:hAnsi="Arial" w:cs="Arial"/>
          <w:color w:val="000000" w:themeColor="text1"/>
          <w:sz w:val="24"/>
          <w:szCs w:val="24"/>
        </w:rPr>
        <w:t>000.000.oo</w:t>
      </w:r>
      <w:bookmarkEnd w:id="24"/>
      <w:r w:rsidR="00651F13" w:rsidRPr="00AD393D">
        <w:rPr>
          <w:rFonts w:ascii="Arial" w:eastAsia="Arial" w:hAnsi="Arial" w:cs="Arial"/>
          <w:color w:val="000000" w:themeColor="text1"/>
          <w:sz w:val="24"/>
          <w:szCs w:val="24"/>
        </w:rPr>
        <w:t xml:space="preserve"> para la vigencia de 2023 y reportó una ejecución del 93% para diciembre de ese mismo año</w:t>
      </w:r>
      <w:r w:rsidR="004B777E" w:rsidRPr="00AD393D">
        <w:rPr>
          <w:rFonts w:ascii="Arial" w:eastAsia="Arial" w:hAnsi="Arial" w:cs="Arial"/>
          <w:color w:val="000000" w:themeColor="text1"/>
          <w:sz w:val="24"/>
          <w:szCs w:val="24"/>
          <w:vertAlign w:val="superscript"/>
        </w:rPr>
        <w:footnoteReference w:id="14"/>
      </w:r>
      <w:r w:rsidR="00651F13" w:rsidRPr="00AD393D">
        <w:rPr>
          <w:rFonts w:ascii="Arial" w:eastAsia="Arial" w:hAnsi="Arial" w:cs="Arial"/>
          <w:color w:val="000000" w:themeColor="text1"/>
          <w:sz w:val="24"/>
          <w:szCs w:val="24"/>
        </w:rPr>
        <w:t>.</w:t>
      </w:r>
    </w:p>
    <w:p w14:paraId="655954BA" w14:textId="77777777" w:rsidR="002E21CF" w:rsidRPr="00AD393D" w:rsidRDefault="002E21CF" w:rsidP="0723639E">
      <w:pPr>
        <w:pBdr>
          <w:top w:val="nil"/>
          <w:left w:val="nil"/>
          <w:bottom w:val="nil"/>
          <w:right w:val="nil"/>
          <w:between w:val="nil"/>
        </w:pBdr>
        <w:spacing w:after="0" w:line="240" w:lineRule="auto"/>
        <w:jc w:val="both"/>
        <w:rPr>
          <w:rFonts w:ascii="Arial" w:eastAsia="Arial" w:hAnsi="Arial" w:cs="Arial"/>
          <w:color w:val="000000" w:themeColor="text1"/>
          <w:sz w:val="24"/>
          <w:szCs w:val="24"/>
        </w:rPr>
      </w:pPr>
    </w:p>
    <w:p w14:paraId="3950769D" w14:textId="5C093F2A" w:rsidR="002E21CF" w:rsidRPr="00AD393D" w:rsidRDefault="6B92079F" w:rsidP="6B92079F">
      <w:pPr>
        <w:pBdr>
          <w:top w:val="nil"/>
          <w:left w:val="nil"/>
          <w:bottom w:val="nil"/>
          <w:right w:val="nil"/>
          <w:between w:val="nil"/>
        </w:pBdr>
        <w:spacing w:after="0" w:line="240" w:lineRule="auto"/>
        <w:jc w:val="both"/>
        <w:rPr>
          <w:rFonts w:ascii="Arial" w:eastAsia="Arial" w:hAnsi="Arial" w:cs="Arial"/>
          <w:color w:val="000000" w:themeColor="text1"/>
          <w:sz w:val="24"/>
          <w:szCs w:val="24"/>
        </w:rPr>
      </w:pPr>
      <w:r w:rsidRPr="00AD393D">
        <w:rPr>
          <w:rFonts w:ascii="Arial" w:eastAsia="Arial" w:hAnsi="Arial" w:cs="Arial"/>
          <w:color w:val="000000" w:themeColor="text1"/>
          <w:sz w:val="24"/>
          <w:szCs w:val="24"/>
          <w:u w:val="single"/>
        </w:rPr>
        <w:t xml:space="preserve">La oficina de Control Interno </w:t>
      </w:r>
      <w:r w:rsidRPr="00AD393D">
        <w:rPr>
          <w:rFonts w:ascii="Arial" w:eastAsia="Arial" w:hAnsi="Arial" w:cs="Arial"/>
          <w:color w:val="000000" w:themeColor="text1"/>
          <w:sz w:val="24"/>
          <w:szCs w:val="24"/>
        </w:rPr>
        <w:t xml:space="preserve">indicó que se encuentran en proceso de formulación de la estrategia nacional de lucha contra la corrupción, realizaron 11 visitas de asesorías, 48 informes de Ley, 31 informes de seguimiento, y 4 campañas de </w:t>
      </w:r>
      <w:r w:rsidRPr="00AD393D">
        <w:rPr>
          <w:rFonts w:ascii="Arial" w:eastAsia="Arial" w:hAnsi="Arial" w:cs="Arial"/>
          <w:color w:val="000000" w:themeColor="text1"/>
          <w:sz w:val="24"/>
          <w:szCs w:val="24"/>
        </w:rPr>
        <w:lastRenderedPageBreak/>
        <w:t xml:space="preserve">fomento de cultura de control. Igualmente reportan un cumplimiento del 100 % del Plan Anual de Auditorías Independientes, pero no establecieron el número de estos, tampoco si se dieron auditorías y hallazgos por parte de la Contraloría General de la República o los planes de mejora implementados si era necesario. </w:t>
      </w:r>
    </w:p>
    <w:p w14:paraId="03A455A5" w14:textId="77777777" w:rsidR="00122241" w:rsidRPr="00AD393D" w:rsidRDefault="00122241" w:rsidP="0723639E">
      <w:pPr>
        <w:pBdr>
          <w:top w:val="nil"/>
          <w:left w:val="nil"/>
          <w:bottom w:val="nil"/>
          <w:right w:val="nil"/>
          <w:between w:val="nil"/>
        </w:pBdr>
        <w:spacing w:after="0" w:line="240" w:lineRule="auto"/>
        <w:jc w:val="both"/>
        <w:rPr>
          <w:rFonts w:ascii="Arial" w:eastAsia="Arial" w:hAnsi="Arial" w:cs="Arial"/>
          <w:color w:val="000000" w:themeColor="text1"/>
          <w:sz w:val="24"/>
          <w:szCs w:val="24"/>
        </w:rPr>
      </w:pPr>
    </w:p>
    <w:p w14:paraId="1CE8105C" w14:textId="0112F525" w:rsidR="00122241" w:rsidRPr="00AD393D" w:rsidRDefault="6B92079F" w:rsidP="0723639E">
      <w:pPr>
        <w:pBdr>
          <w:top w:val="nil"/>
          <w:left w:val="nil"/>
          <w:bottom w:val="nil"/>
          <w:right w:val="nil"/>
          <w:between w:val="nil"/>
        </w:pBdr>
        <w:spacing w:after="0" w:line="240" w:lineRule="auto"/>
        <w:jc w:val="both"/>
        <w:rPr>
          <w:rFonts w:ascii="Arial" w:eastAsia="Arial" w:hAnsi="Arial" w:cs="Arial"/>
          <w:color w:val="000000" w:themeColor="text1"/>
          <w:sz w:val="24"/>
          <w:szCs w:val="24"/>
        </w:rPr>
      </w:pPr>
      <w:r w:rsidRPr="00AD393D">
        <w:rPr>
          <w:rFonts w:ascii="Arial" w:eastAsia="Arial" w:hAnsi="Arial" w:cs="Arial"/>
          <w:color w:val="000000" w:themeColor="text1"/>
          <w:sz w:val="24"/>
          <w:szCs w:val="24"/>
          <w:u w:val="single"/>
        </w:rPr>
        <w:t xml:space="preserve">El grupo de Control Interno Disciplinario </w:t>
      </w:r>
      <w:r w:rsidRPr="00AD393D">
        <w:rPr>
          <w:rFonts w:ascii="Arial" w:eastAsia="Arial" w:hAnsi="Arial" w:cs="Arial"/>
          <w:color w:val="000000" w:themeColor="text1"/>
          <w:sz w:val="24"/>
          <w:szCs w:val="24"/>
        </w:rPr>
        <w:t>reportó 72 procesos y/o actuaciones recibidas, 8 capacitaciones con el personal de planta y contratistas y la producción de 16 piezas gráficas.</w:t>
      </w:r>
    </w:p>
    <w:p w14:paraId="1F779665" w14:textId="53E664B8" w:rsidR="6B92079F" w:rsidRPr="00AD393D" w:rsidRDefault="6B92079F" w:rsidP="6B92079F">
      <w:pPr>
        <w:pBdr>
          <w:top w:val="nil"/>
          <w:left w:val="nil"/>
          <w:bottom w:val="nil"/>
          <w:right w:val="nil"/>
          <w:between w:val="nil"/>
        </w:pBdr>
        <w:spacing w:after="0" w:line="240" w:lineRule="auto"/>
        <w:jc w:val="both"/>
        <w:rPr>
          <w:rFonts w:ascii="Arial" w:eastAsia="Arial" w:hAnsi="Arial" w:cs="Arial"/>
          <w:color w:val="000000" w:themeColor="text1"/>
          <w:sz w:val="24"/>
          <w:szCs w:val="24"/>
        </w:rPr>
      </w:pPr>
    </w:p>
    <w:p w14:paraId="26CC9ED9" w14:textId="3F5B76F7" w:rsidR="6B92079F" w:rsidRPr="00AD393D" w:rsidRDefault="6B92079F" w:rsidP="6B92079F">
      <w:pPr>
        <w:pBdr>
          <w:top w:val="nil"/>
          <w:left w:val="nil"/>
          <w:bottom w:val="nil"/>
          <w:right w:val="nil"/>
          <w:between w:val="nil"/>
        </w:pBdr>
        <w:spacing w:after="0" w:line="240" w:lineRule="auto"/>
        <w:jc w:val="both"/>
        <w:rPr>
          <w:rFonts w:ascii="Arial" w:eastAsia="Arial" w:hAnsi="Arial" w:cs="Arial"/>
          <w:color w:val="000000" w:themeColor="text1"/>
          <w:sz w:val="24"/>
          <w:szCs w:val="24"/>
        </w:rPr>
      </w:pPr>
      <w:r w:rsidRPr="00AD393D">
        <w:rPr>
          <w:rFonts w:ascii="Arial" w:eastAsia="Arial" w:hAnsi="Arial" w:cs="Arial"/>
          <w:color w:val="000000" w:themeColor="text1"/>
          <w:sz w:val="24"/>
          <w:szCs w:val="24"/>
          <w:u w:val="single"/>
        </w:rPr>
        <w:t>Sobre el Viceministerio de Dialogo Social,</w:t>
      </w:r>
      <w:r w:rsidRPr="00AD393D">
        <w:rPr>
          <w:rFonts w:ascii="Arial" w:eastAsia="Arial" w:hAnsi="Arial" w:cs="Arial"/>
          <w:color w:val="000000" w:themeColor="text1"/>
          <w:sz w:val="24"/>
          <w:szCs w:val="24"/>
        </w:rPr>
        <w:t xml:space="preserve"> es pertinente señalar:</w:t>
      </w:r>
    </w:p>
    <w:p w14:paraId="203E17CD" w14:textId="58E5A531" w:rsidR="6B92079F" w:rsidRPr="00AD393D" w:rsidRDefault="6B92079F" w:rsidP="6B92079F">
      <w:pPr>
        <w:pBdr>
          <w:top w:val="nil"/>
          <w:left w:val="nil"/>
          <w:bottom w:val="nil"/>
          <w:right w:val="nil"/>
          <w:between w:val="nil"/>
        </w:pBdr>
        <w:spacing w:after="0" w:line="240" w:lineRule="auto"/>
        <w:jc w:val="both"/>
        <w:rPr>
          <w:rFonts w:ascii="Arial" w:eastAsia="Arial" w:hAnsi="Arial" w:cs="Arial"/>
          <w:color w:val="000000" w:themeColor="text1"/>
          <w:sz w:val="24"/>
          <w:szCs w:val="24"/>
        </w:rPr>
      </w:pPr>
    </w:p>
    <w:p w14:paraId="1AE348DC" w14:textId="64B42125" w:rsidR="6B92079F" w:rsidRPr="00AD393D" w:rsidRDefault="6B92079F" w:rsidP="6B92079F">
      <w:pPr>
        <w:pStyle w:val="Prrafodelista"/>
        <w:numPr>
          <w:ilvl w:val="0"/>
          <w:numId w:val="2"/>
        </w:numPr>
        <w:pBdr>
          <w:top w:val="nil"/>
          <w:left w:val="nil"/>
          <w:bottom w:val="nil"/>
          <w:right w:val="nil"/>
          <w:between w:val="nil"/>
        </w:pBdr>
        <w:jc w:val="both"/>
        <w:rPr>
          <w:rFonts w:ascii="Arial" w:eastAsia="Arial" w:hAnsi="Arial" w:cs="Arial"/>
          <w:lang w:val="es-CO"/>
        </w:rPr>
      </w:pPr>
      <w:r w:rsidRPr="00AD393D">
        <w:rPr>
          <w:rFonts w:ascii="Arial" w:eastAsia="Arial" w:hAnsi="Arial" w:cs="Arial"/>
          <w:color w:val="000000" w:themeColor="text1"/>
          <w:lang w:val="es-CO"/>
        </w:rPr>
        <w:t>Dirección de Comunidades Negras: Se realizaron unas caracterizaciones y un acuerdo con la Universidad Nacional pero se desconoce si esta es mucho o poco con relación a las metas.</w:t>
      </w:r>
    </w:p>
    <w:p w14:paraId="7F91C361" w14:textId="3F77A984" w:rsidR="6B92079F" w:rsidRPr="00AD393D" w:rsidRDefault="6B92079F" w:rsidP="6B92079F">
      <w:pPr>
        <w:pStyle w:val="Prrafodelista"/>
        <w:pBdr>
          <w:top w:val="nil"/>
          <w:left w:val="nil"/>
          <w:bottom w:val="nil"/>
          <w:right w:val="nil"/>
          <w:between w:val="nil"/>
        </w:pBdr>
        <w:jc w:val="both"/>
        <w:rPr>
          <w:rFonts w:ascii="Arial" w:eastAsia="Arial" w:hAnsi="Arial" w:cs="Arial"/>
          <w:lang w:val="es-CO"/>
        </w:rPr>
      </w:pPr>
    </w:p>
    <w:p w14:paraId="40BB363C" w14:textId="0C2404AF" w:rsidR="6B92079F" w:rsidRPr="00AD393D" w:rsidRDefault="6B92079F" w:rsidP="6B92079F">
      <w:pPr>
        <w:pStyle w:val="Prrafodelista"/>
        <w:numPr>
          <w:ilvl w:val="0"/>
          <w:numId w:val="2"/>
        </w:numPr>
        <w:pBdr>
          <w:top w:val="nil"/>
          <w:left w:val="nil"/>
          <w:bottom w:val="nil"/>
          <w:right w:val="nil"/>
          <w:between w:val="nil"/>
        </w:pBdr>
        <w:jc w:val="both"/>
        <w:rPr>
          <w:rFonts w:ascii="Arial" w:eastAsia="Arial" w:hAnsi="Arial" w:cs="Arial"/>
          <w:lang w:val="es-CO"/>
        </w:rPr>
      </w:pPr>
      <w:r w:rsidRPr="00AD393D">
        <w:rPr>
          <w:rFonts w:ascii="Arial" w:eastAsia="Arial" w:hAnsi="Arial" w:cs="Arial"/>
          <w:lang w:val="es-CO"/>
        </w:rPr>
        <w:t xml:space="preserve">Dirección de Asuntos Indígenas: </w:t>
      </w:r>
      <w:r w:rsidRPr="00AD393D">
        <w:rPr>
          <w:rFonts w:ascii="Arial" w:eastAsia="Arial" w:hAnsi="Arial" w:cs="Arial"/>
          <w:color w:val="000000" w:themeColor="text1"/>
          <w:lang w:val="es-CO"/>
        </w:rPr>
        <w:t>Se habla de espacios de diálogo y concertación, como mesas de resolución de conflicto en 23 departamentos por alrededor de 37mil millones; 37 acuerdos indígenas, 15 acuerdos de Amazonía, 10 ROM gitano; benéficos a 308 mil personas indígenas; 85mil millones para cumplimiento del PND.</w:t>
      </w:r>
    </w:p>
    <w:p w14:paraId="5CD474FB" w14:textId="5947A5D6" w:rsidR="00AD393D" w:rsidRDefault="00AD393D">
      <w:pPr>
        <w:rPr>
          <w:rFonts w:ascii="Arial" w:eastAsia="Arial" w:hAnsi="Arial" w:cs="Arial"/>
          <w:sz w:val="24"/>
          <w:szCs w:val="24"/>
          <w:lang w:eastAsia="es-ES"/>
        </w:rPr>
      </w:pPr>
    </w:p>
    <w:p w14:paraId="2CB1E067" w14:textId="77777777" w:rsidR="00771F50" w:rsidRDefault="00771F50">
      <w:pPr>
        <w:rPr>
          <w:rFonts w:ascii="Arial" w:eastAsia="Arial" w:hAnsi="Arial" w:cs="Arial"/>
          <w:sz w:val="24"/>
          <w:szCs w:val="24"/>
          <w:lang w:eastAsia="es-ES"/>
        </w:rPr>
      </w:pPr>
    </w:p>
    <w:p w14:paraId="446A63A0" w14:textId="6C13420D" w:rsidR="00DC2EC7" w:rsidRPr="00AD393D" w:rsidRDefault="6B92079F" w:rsidP="6B92079F">
      <w:pPr>
        <w:pStyle w:val="Ttulo1"/>
        <w:keepNext w:val="0"/>
        <w:keepLines w:val="0"/>
        <w:numPr>
          <w:ilvl w:val="0"/>
          <w:numId w:val="10"/>
        </w:numPr>
        <w:spacing w:before="0" w:line="240" w:lineRule="auto"/>
        <w:jc w:val="both"/>
        <w:rPr>
          <w:rFonts w:ascii="Arial" w:eastAsia="Arial" w:hAnsi="Arial" w:cs="Arial"/>
          <w:b/>
          <w:bCs/>
          <w:color w:val="000000"/>
          <w:sz w:val="24"/>
          <w:szCs w:val="24"/>
        </w:rPr>
      </w:pPr>
      <w:r w:rsidRPr="00AD393D">
        <w:rPr>
          <w:rFonts w:ascii="Arial" w:eastAsia="Arial" w:hAnsi="Arial" w:cs="Arial"/>
          <w:b/>
          <w:bCs/>
          <w:color w:val="000000" w:themeColor="text1"/>
          <w:sz w:val="24"/>
          <w:szCs w:val="24"/>
        </w:rPr>
        <w:t xml:space="preserve">CONCLUSIONES </w:t>
      </w:r>
      <w:r w:rsidR="00AD393D">
        <w:rPr>
          <w:rFonts w:ascii="Arial" w:eastAsia="Arial" w:hAnsi="Arial" w:cs="Arial"/>
          <w:b/>
          <w:bCs/>
          <w:color w:val="000000" w:themeColor="text1"/>
          <w:sz w:val="24"/>
          <w:szCs w:val="24"/>
        </w:rPr>
        <w:t>Y RESPUESTAS</w:t>
      </w:r>
    </w:p>
    <w:p w14:paraId="407CDB39" w14:textId="4F756C33" w:rsidR="00DC2EC7" w:rsidRPr="00AD393D" w:rsidRDefault="00DC2EC7" w:rsidP="005D3E67">
      <w:pPr>
        <w:pBdr>
          <w:top w:val="nil"/>
          <w:left w:val="nil"/>
          <w:bottom w:val="nil"/>
          <w:right w:val="nil"/>
          <w:between w:val="nil"/>
        </w:pBdr>
        <w:spacing w:after="0" w:line="240" w:lineRule="auto"/>
        <w:jc w:val="both"/>
        <w:rPr>
          <w:rFonts w:ascii="Arial" w:eastAsia="Arial" w:hAnsi="Arial" w:cs="Arial"/>
          <w:color w:val="000000"/>
          <w:sz w:val="24"/>
          <w:szCs w:val="24"/>
        </w:rPr>
      </w:pPr>
    </w:p>
    <w:p w14:paraId="58B04048" w14:textId="0C797ED3" w:rsidR="005D3E67" w:rsidRPr="00AD393D" w:rsidRDefault="6B92079F" w:rsidP="6B92079F">
      <w:pPr>
        <w:pBdr>
          <w:top w:val="nil"/>
          <w:left w:val="nil"/>
          <w:bottom w:val="nil"/>
          <w:right w:val="nil"/>
          <w:between w:val="nil"/>
        </w:pBdr>
        <w:spacing w:after="0" w:line="240" w:lineRule="auto"/>
        <w:jc w:val="both"/>
        <w:rPr>
          <w:rFonts w:ascii="Arial" w:eastAsia="Arial" w:hAnsi="Arial" w:cs="Arial"/>
          <w:b/>
          <w:bCs/>
          <w:color w:val="000000" w:themeColor="text1"/>
          <w:sz w:val="24"/>
          <w:szCs w:val="24"/>
        </w:rPr>
      </w:pPr>
      <w:r w:rsidRPr="00AD393D">
        <w:rPr>
          <w:rFonts w:ascii="Arial" w:eastAsia="Arial" w:hAnsi="Arial" w:cs="Arial"/>
          <w:b/>
          <w:bCs/>
          <w:color w:val="000000" w:themeColor="text1"/>
          <w:sz w:val="24"/>
          <w:szCs w:val="24"/>
        </w:rPr>
        <w:t>Al Ministerio de Justicia.</w:t>
      </w:r>
    </w:p>
    <w:p w14:paraId="33AC55DB" w14:textId="3E603582" w:rsidR="005D3E67" w:rsidRPr="00AD393D" w:rsidRDefault="005D3E67" w:rsidP="6B92079F">
      <w:pPr>
        <w:pBdr>
          <w:top w:val="nil"/>
          <w:left w:val="nil"/>
          <w:bottom w:val="nil"/>
          <w:right w:val="nil"/>
          <w:between w:val="nil"/>
        </w:pBdr>
        <w:spacing w:after="0" w:line="240" w:lineRule="auto"/>
        <w:jc w:val="both"/>
        <w:rPr>
          <w:rFonts w:ascii="Arial" w:eastAsia="Arial" w:hAnsi="Arial" w:cs="Arial"/>
          <w:b/>
          <w:bCs/>
          <w:color w:val="000000" w:themeColor="text1"/>
          <w:sz w:val="24"/>
          <w:szCs w:val="24"/>
        </w:rPr>
      </w:pPr>
    </w:p>
    <w:p w14:paraId="6BA286DC" w14:textId="281E4FE5" w:rsidR="005D3E67" w:rsidRPr="00AD393D" w:rsidRDefault="6B92079F" w:rsidP="6B92079F">
      <w:pPr>
        <w:pStyle w:val="Prrafodelista"/>
        <w:numPr>
          <w:ilvl w:val="0"/>
          <w:numId w:val="5"/>
        </w:numPr>
        <w:pBdr>
          <w:top w:val="nil"/>
          <w:left w:val="nil"/>
          <w:bottom w:val="nil"/>
          <w:right w:val="nil"/>
          <w:between w:val="nil"/>
        </w:pBdr>
        <w:jc w:val="both"/>
        <w:rPr>
          <w:rFonts w:ascii="Arial" w:eastAsia="Arial" w:hAnsi="Arial" w:cs="Arial"/>
          <w:color w:val="000000" w:themeColor="text1"/>
          <w:lang w:val="es-CO"/>
        </w:rPr>
      </w:pPr>
      <w:r w:rsidRPr="00AD393D">
        <w:rPr>
          <w:rFonts w:ascii="Arial" w:eastAsia="Arial" w:hAnsi="Arial" w:cs="Arial"/>
          <w:color w:val="000000" w:themeColor="text1"/>
          <w:lang w:val="es-CO"/>
        </w:rPr>
        <w:t>Hay que contar con los anexos correspondientes que contrastan las cifras, para evaluar el cumplimiento de las metas e indicadores del documento.</w:t>
      </w:r>
    </w:p>
    <w:p w14:paraId="7321AA23" w14:textId="7346A294" w:rsidR="005D3E67" w:rsidRPr="00AD393D" w:rsidRDefault="005D3E67" w:rsidP="6B92079F">
      <w:pPr>
        <w:pStyle w:val="Prrafodelista"/>
        <w:pBdr>
          <w:top w:val="nil"/>
          <w:left w:val="nil"/>
          <w:bottom w:val="nil"/>
          <w:right w:val="nil"/>
          <w:between w:val="nil"/>
        </w:pBdr>
        <w:jc w:val="both"/>
        <w:rPr>
          <w:rFonts w:ascii="Arial" w:eastAsia="Arial" w:hAnsi="Arial" w:cs="Arial"/>
          <w:color w:val="000000" w:themeColor="text1"/>
          <w:lang w:val="es-CO"/>
        </w:rPr>
      </w:pPr>
    </w:p>
    <w:p w14:paraId="07151717" w14:textId="299F8039" w:rsidR="005D3E67" w:rsidRPr="00AD393D" w:rsidRDefault="6B92079F" w:rsidP="6B92079F">
      <w:pPr>
        <w:pStyle w:val="Prrafodelista"/>
        <w:numPr>
          <w:ilvl w:val="0"/>
          <w:numId w:val="5"/>
        </w:numPr>
        <w:pBdr>
          <w:top w:val="nil"/>
          <w:left w:val="nil"/>
          <w:bottom w:val="nil"/>
          <w:right w:val="nil"/>
          <w:between w:val="nil"/>
        </w:pBdr>
        <w:jc w:val="both"/>
        <w:rPr>
          <w:rFonts w:ascii="Arial" w:eastAsia="Arial" w:hAnsi="Arial" w:cs="Arial"/>
          <w:color w:val="000000" w:themeColor="text1"/>
          <w:lang w:val="es-CO"/>
        </w:rPr>
      </w:pPr>
      <w:r w:rsidRPr="00AD393D">
        <w:rPr>
          <w:rFonts w:ascii="Arial" w:eastAsia="Arial" w:hAnsi="Arial" w:cs="Arial"/>
          <w:color w:val="000000" w:themeColor="text1"/>
          <w:lang w:val="es-CO"/>
        </w:rPr>
        <w:t>El informe parece ser un “informe parcial”, dado que algunos de los datos son de agosto y octubre de 2023. Por lo que se recomienda a la entidad la importancia de una rendición integral o un anexo al informe que permita conocer el funcionamiento de la entidad y el cumplimiento de sus indicadores de todo el año 2023, ya que el análisis es para medir su gestión anual, no por meses.</w:t>
      </w:r>
    </w:p>
    <w:p w14:paraId="1F1DA515" w14:textId="3B6BE4DE" w:rsidR="005D3E67" w:rsidRPr="00AD393D" w:rsidRDefault="005D3E67" w:rsidP="6B92079F">
      <w:pPr>
        <w:pBdr>
          <w:top w:val="nil"/>
          <w:left w:val="nil"/>
          <w:bottom w:val="nil"/>
          <w:right w:val="nil"/>
          <w:between w:val="nil"/>
        </w:pBdr>
        <w:spacing w:after="0" w:line="240" w:lineRule="auto"/>
        <w:jc w:val="both"/>
        <w:rPr>
          <w:rFonts w:ascii="Arial" w:eastAsia="Arial" w:hAnsi="Arial" w:cs="Arial"/>
          <w:color w:val="000000" w:themeColor="text1"/>
          <w:sz w:val="24"/>
          <w:szCs w:val="24"/>
        </w:rPr>
      </w:pPr>
    </w:p>
    <w:p w14:paraId="3DC56BA0" w14:textId="5DFE7A46" w:rsidR="005D3E67" w:rsidRPr="00AD393D" w:rsidRDefault="6B92079F" w:rsidP="6B92079F">
      <w:pPr>
        <w:pStyle w:val="Prrafodelista"/>
        <w:numPr>
          <w:ilvl w:val="0"/>
          <w:numId w:val="4"/>
        </w:numPr>
        <w:pBdr>
          <w:top w:val="nil"/>
          <w:left w:val="nil"/>
          <w:bottom w:val="nil"/>
          <w:right w:val="nil"/>
          <w:between w:val="nil"/>
        </w:pBdr>
        <w:jc w:val="both"/>
        <w:rPr>
          <w:rFonts w:ascii="Arial" w:eastAsia="Arial" w:hAnsi="Arial" w:cs="Arial"/>
          <w:color w:val="000000" w:themeColor="text1"/>
          <w:lang w:val="es-CO"/>
        </w:rPr>
      </w:pPr>
      <w:r w:rsidRPr="00AD393D">
        <w:rPr>
          <w:rFonts w:ascii="Arial" w:eastAsia="Arial" w:hAnsi="Arial" w:cs="Arial"/>
          <w:color w:val="000000" w:themeColor="text1"/>
          <w:lang w:val="es-CO"/>
        </w:rPr>
        <w:t>Se recomienda, dado que algunas de las medidas y disposiciones se refiere su ejecución a futuro, brindar un estado de avance de cada una y las proyecciones de cumplimiento de estas en el futuro cercano. También señalar con claridad los actores necesarios articular para cumplir los procesos, programas y compromisos de la entidad.</w:t>
      </w:r>
    </w:p>
    <w:p w14:paraId="66D7095A" w14:textId="5FEC214F" w:rsidR="005D3E67" w:rsidRPr="00AD393D" w:rsidRDefault="005D3E67" w:rsidP="6B92079F">
      <w:pPr>
        <w:pBdr>
          <w:top w:val="nil"/>
          <w:left w:val="nil"/>
          <w:bottom w:val="nil"/>
          <w:right w:val="nil"/>
          <w:between w:val="nil"/>
        </w:pBdr>
        <w:spacing w:after="0" w:line="240" w:lineRule="auto"/>
        <w:jc w:val="both"/>
        <w:rPr>
          <w:rFonts w:ascii="Arial" w:eastAsia="Arial" w:hAnsi="Arial" w:cs="Arial"/>
          <w:color w:val="000000" w:themeColor="text1"/>
          <w:sz w:val="24"/>
          <w:szCs w:val="24"/>
        </w:rPr>
      </w:pPr>
    </w:p>
    <w:p w14:paraId="47A68865" w14:textId="4A404E5C" w:rsidR="005D3E67" w:rsidRPr="00AD393D" w:rsidRDefault="6B92079F" w:rsidP="6B92079F">
      <w:pPr>
        <w:pStyle w:val="Prrafodelista"/>
        <w:numPr>
          <w:ilvl w:val="0"/>
          <w:numId w:val="3"/>
        </w:numPr>
        <w:pBdr>
          <w:top w:val="nil"/>
          <w:left w:val="nil"/>
          <w:bottom w:val="nil"/>
          <w:right w:val="nil"/>
          <w:between w:val="nil"/>
        </w:pBdr>
        <w:jc w:val="both"/>
        <w:rPr>
          <w:rFonts w:ascii="Arial" w:eastAsia="Arial" w:hAnsi="Arial" w:cs="Arial"/>
          <w:color w:val="000000" w:themeColor="text1"/>
          <w:lang w:val="es-CO"/>
        </w:rPr>
      </w:pPr>
      <w:r w:rsidRPr="00AD393D">
        <w:rPr>
          <w:rFonts w:ascii="Arial" w:eastAsia="Arial" w:hAnsi="Arial" w:cs="Arial"/>
          <w:color w:val="000000" w:themeColor="text1"/>
          <w:lang w:val="es-CO"/>
        </w:rPr>
        <w:lastRenderedPageBreak/>
        <w:t>Se recomienda incluir un aparte sobre los retos para el 2024, siempre que se hable de temas presupuestales para cada dependencia; pero no se refiere con claridad los indicadores y metas pendientes ni cómo se lograrán y retomarán en la vigencia 2024. Esto es clave para evaluar el desempeño de la entidad, los retos que tiene para la siguiente vigencia y el cumplimiento de cada indicador y meta trazada.</w:t>
      </w:r>
    </w:p>
    <w:p w14:paraId="46629C43" w14:textId="1D19E3A4" w:rsidR="005D3E67" w:rsidRPr="00AD393D" w:rsidRDefault="005D3E67" w:rsidP="6B92079F">
      <w:pPr>
        <w:pStyle w:val="Prrafodelista"/>
        <w:pBdr>
          <w:top w:val="nil"/>
          <w:left w:val="nil"/>
          <w:bottom w:val="nil"/>
          <w:right w:val="nil"/>
          <w:between w:val="nil"/>
        </w:pBdr>
        <w:jc w:val="both"/>
        <w:rPr>
          <w:rFonts w:ascii="Arial" w:eastAsia="Arial" w:hAnsi="Arial" w:cs="Arial"/>
          <w:color w:val="000000" w:themeColor="text1"/>
          <w:lang w:val="es-CO"/>
        </w:rPr>
      </w:pPr>
    </w:p>
    <w:p w14:paraId="66C4BFAF" w14:textId="3DFB2B35" w:rsidR="005D3E67" w:rsidRPr="00AD393D" w:rsidRDefault="6B92079F" w:rsidP="6B92079F">
      <w:pPr>
        <w:pBdr>
          <w:top w:val="nil"/>
          <w:left w:val="nil"/>
          <w:bottom w:val="nil"/>
          <w:right w:val="nil"/>
          <w:between w:val="nil"/>
        </w:pBdr>
        <w:spacing w:after="0" w:line="240" w:lineRule="auto"/>
        <w:jc w:val="both"/>
        <w:rPr>
          <w:rFonts w:ascii="Arial" w:eastAsia="Arial" w:hAnsi="Arial" w:cs="Arial"/>
          <w:b/>
          <w:bCs/>
          <w:color w:val="000000"/>
          <w:sz w:val="24"/>
          <w:szCs w:val="24"/>
        </w:rPr>
      </w:pPr>
      <w:r w:rsidRPr="00AD393D">
        <w:rPr>
          <w:rFonts w:ascii="Arial" w:eastAsia="Arial" w:hAnsi="Arial" w:cs="Arial"/>
          <w:b/>
          <w:bCs/>
          <w:color w:val="000000" w:themeColor="text1"/>
          <w:sz w:val="24"/>
          <w:szCs w:val="24"/>
        </w:rPr>
        <w:t>Al Ministerio del Interior.</w:t>
      </w:r>
    </w:p>
    <w:p w14:paraId="29519F88" w14:textId="2A4F9074" w:rsidR="6B92079F" w:rsidRPr="00AD393D" w:rsidRDefault="6B92079F" w:rsidP="6B92079F">
      <w:pPr>
        <w:pBdr>
          <w:top w:val="nil"/>
          <w:left w:val="nil"/>
          <w:bottom w:val="nil"/>
          <w:right w:val="nil"/>
          <w:between w:val="nil"/>
        </w:pBdr>
        <w:spacing w:after="0" w:line="240" w:lineRule="auto"/>
        <w:jc w:val="both"/>
        <w:rPr>
          <w:rFonts w:ascii="Arial" w:eastAsia="Arial" w:hAnsi="Arial" w:cs="Arial"/>
          <w:b/>
          <w:bCs/>
          <w:color w:val="000000" w:themeColor="text1"/>
          <w:sz w:val="24"/>
          <w:szCs w:val="24"/>
        </w:rPr>
      </w:pPr>
    </w:p>
    <w:p w14:paraId="633A7707" w14:textId="7888E438" w:rsidR="0723639E" w:rsidRPr="00AD393D" w:rsidRDefault="6B92079F" w:rsidP="6B92079F">
      <w:pPr>
        <w:pStyle w:val="Prrafodelista"/>
        <w:numPr>
          <w:ilvl w:val="0"/>
          <w:numId w:val="8"/>
        </w:numPr>
        <w:jc w:val="both"/>
        <w:rPr>
          <w:rFonts w:ascii="Arial" w:eastAsia="Times New Roman" w:hAnsi="Arial" w:cs="Arial"/>
          <w:color w:val="000000" w:themeColor="text1"/>
          <w:lang w:val="es-CO"/>
        </w:rPr>
      </w:pPr>
      <w:r w:rsidRPr="00AD393D">
        <w:rPr>
          <w:rFonts w:ascii="Arial" w:hAnsi="Arial" w:cs="Arial"/>
          <w:color w:val="000000" w:themeColor="text1"/>
          <w:lang w:val="es-CO"/>
        </w:rPr>
        <w:t xml:space="preserve">Es importante que se unifiquen los criterios para elaborar informes de rendición de cuentas del Ministerio del Interior, ya que la variación entre formatos y la falta de indicadores permanentes impide medir y analizar el desempeño de la entidad entre vigencias de forma cuantitativa. </w:t>
      </w:r>
      <w:r w:rsidRPr="00AD393D">
        <w:rPr>
          <w:rFonts w:ascii="Arial" w:eastAsia="Times New Roman" w:hAnsi="Arial" w:cs="Arial"/>
          <w:color w:val="000000" w:themeColor="text1"/>
          <w:lang w:val="es-CO"/>
        </w:rPr>
        <w:t>Hay información faltante al comparar el documento de rendición de cuentas actual con los documentos de administraciones anteriores.</w:t>
      </w:r>
    </w:p>
    <w:p w14:paraId="21A8DF2C" w14:textId="6302AEA9" w:rsidR="6B92079F" w:rsidRPr="00AD393D" w:rsidRDefault="6B92079F" w:rsidP="6B92079F">
      <w:pPr>
        <w:pStyle w:val="Prrafodelista"/>
        <w:jc w:val="both"/>
        <w:rPr>
          <w:rFonts w:ascii="Arial" w:eastAsia="Times New Roman" w:hAnsi="Arial" w:cs="Arial"/>
          <w:color w:val="000000" w:themeColor="text1"/>
          <w:lang w:val="es-CO"/>
        </w:rPr>
      </w:pPr>
    </w:p>
    <w:p w14:paraId="24F8750D" w14:textId="3A0B6169" w:rsidR="006E3030" w:rsidRPr="00AD393D" w:rsidRDefault="6B92079F" w:rsidP="6B92079F">
      <w:pPr>
        <w:pStyle w:val="Prrafodelista"/>
        <w:numPr>
          <w:ilvl w:val="0"/>
          <w:numId w:val="8"/>
        </w:numPr>
        <w:jc w:val="both"/>
        <w:rPr>
          <w:rFonts w:ascii="Arial" w:eastAsia="Times New Roman" w:hAnsi="Arial" w:cs="Arial"/>
          <w:color w:val="000000" w:themeColor="text1"/>
          <w:lang w:val="es-CO"/>
        </w:rPr>
      </w:pPr>
      <w:r w:rsidRPr="00AD393D">
        <w:rPr>
          <w:rFonts w:ascii="Arial" w:hAnsi="Arial" w:cs="Arial"/>
          <w:color w:val="000000" w:themeColor="text1"/>
          <w:lang w:val="es-CO"/>
        </w:rPr>
        <w:t>Es necesario empezar a considerar si la forma en que se hacen los informes de gestión permite analizar y hacer control político por parte de organismos como la Cámara de Representantes, que tienen un carácter inherentemente regional. La información presentada por sí sola no permite analizar cómo esta cartera ministerial realizó actividades o destinó recursos para trabajo con las entidades territoriales o comunidades de las diferentes regiones del país, por lo que es necesario buscar documentos suplementarios. Se propone que se implemente un formato donde se incluya la gestión y ejecución regionalizada de la entidad.</w:t>
      </w:r>
    </w:p>
    <w:p w14:paraId="29493ED1" w14:textId="44E37E14" w:rsidR="6B92079F" w:rsidRPr="00AD393D" w:rsidRDefault="6B92079F" w:rsidP="6B92079F">
      <w:pPr>
        <w:pStyle w:val="Prrafodelista"/>
        <w:ind w:hanging="360"/>
        <w:jc w:val="both"/>
        <w:rPr>
          <w:rFonts w:ascii="Arial" w:eastAsia="Times New Roman" w:hAnsi="Arial" w:cs="Arial"/>
          <w:color w:val="000000" w:themeColor="text1"/>
          <w:lang w:val="es-CO"/>
        </w:rPr>
      </w:pPr>
    </w:p>
    <w:p w14:paraId="5F63DE17" w14:textId="57C48F7A" w:rsidR="6B92079F" w:rsidRPr="00AD393D" w:rsidRDefault="6B92079F" w:rsidP="6B92079F">
      <w:pPr>
        <w:pStyle w:val="Prrafodelista"/>
        <w:numPr>
          <w:ilvl w:val="0"/>
          <w:numId w:val="8"/>
        </w:numPr>
        <w:jc w:val="both"/>
        <w:rPr>
          <w:rFonts w:ascii="Arial" w:eastAsia="Times New Roman" w:hAnsi="Arial" w:cs="Arial"/>
          <w:color w:val="000000" w:themeColor="text1"/>
          <w:lang w:val="es-CO"/>
        </w:rPr>
      </w:pPr>
      <w:r w:rsidRPr="00AD393D">
        <w:rPr>
          <w:rFonts w:ascii="Arial" w:eastAsia="Times New Roman" w:hAnsi="Arial" w:cs="Arial"/>
          <w:color w:val="000000" w:themeColor="text1"/>
          <w:lang w:val="es-CO"/>
        </w:rPr>
        <w:t>Es necesario que se incluya en el informe qué porcentaje de las respuestas a peticiones del Congreso de la República se responden en el término previsto por la Ley 5ta de 1992, a cuántas se les solicita prórroga y cuál es el tiempo de respuesta promedio para dichas solicitudes.</w:t>
      </w:r>
    </w:p>
    <w:p w14:paraId="4EBA373F" w14:textId="4623DB41" w:rsidR="6B92079F" w:rsidRPr="00AD393D" w:rsidRDefault="6B92079F" w:rsidP="6B92079F">
      <w:pPr>
        <w:pStyle w:val="Prrafodelista"/>
        <w:jc w:val="both"/>
        <w:rPr>
          <w:rFonts w:ascii="Arial" w:eastAsia="Times New Roman" w:hAnsi="Arial" w:cs="Arial"/>
          <w:color w:val="000000" w:themeColor="text1"/>
          <w:lang w:val="es-CO"/>
        </w:rPr>
      </w:pPr>
    </w:p>
    <w:p w14:paraId="4E646BD0" w14:textId="2051FD21" w:rsidR="003340E4" w:rsidRPr="00AD393D" w:rsidRDefault="6B92079F" w:rsidP="0723639E">
      <w:pPr>
        <w:pStyle w:val="Prrafodelista"/>
        <w:numPr>
          <w:ilvl w:val="0"/>
          <w:numId w:val="8"/>
        </w:numPr>
        <w:jc w:val="both"/>
        <w:rPr>
          <w:rFonts w:ascii="Arial" w:eastAsia="Times New Roman" w:hAnsi="Arial" w:cs="Arial"/>
          <w:color w:val="000000" w:themeColor="text1"/>
          <w:lang w:val="es-CO"/>
        </w:rPr>
      </w:pPr>
      <w:r w:rsidRPr="00AD393D">
        <w:rPr>
          <w:rFonts w:ascii="Arial" w:hAnsi="Arial" w:cs="Arial"/>
          <w:color w:val="000000" w:themeColor="text1"/>
          <w:lang w:val="es-CO"/>
        </w:rPr>
        <w:t xml:space="preserve">Esta cartera tiene áreas </w:t>
      </w:r>
      <w:r w:rsidR="00AD393D">
        <w:rPr>
          <w:rFonts w:ascii="Arial" w:hAnsi="Arial" w:cs="Arial"/>
          <w:color w:val="000000" w:themeColor="text1"/>
          <w:lang w:val="es-CO"/>
        </w:rPr>
        <w:t>con una ejecución de recursos muy baja</w:t>
      </w:r>
      <w:r w:rsidRPr="00AD393D">
        <w:rPr>
          <w:rFonts w:ascii="Arial" w:hAnsi="Arial" w:cs="Arial"/>
          <w:color w:val="000000" w:themeColor="text1"/>
          <w:lang w:val="es-CO"/>
        </w:rPr>
        <w:t>, por lo que se debe tener en cuenta qué áreas tienen debilidades en el desempeño y establecer un plan de mejora para las siguientes vigencias.</w:t>
      </w:r>
    </w:p>
    <w:p w14:paraId="744C8B2B" w14:textId="6357595A" w:rsidR="6B92079F" w:rsidRPr="00AD393D" w:rsidRDefault="6B92079F" w:rsidP="6B92079F">
      <w:pPr>
        <w:pStyle w:val="Prrafodelista"/>
        <w:jc w:val="both"/>
        <w:rPr>
          <w:rFonts w:ascii="Arial" w:eastAsia="Times New Roman" w:hAnsi="Arial" w:cs="Arial"/>
          <w:color w:val="000000" w:themeColor="text1"/>
          <w:lang w:val="es-CO"/>
        </w:rPr>
      </w:pPr>
    </w:p>
    <w:p w14:paraId="4E97B4D9" w14:textId="29BB4CD0" w:rsidR="001941B9" w:rsidRPr="00AD393D" w:rsidRDefault="6B92079F" w:rsidP="001941B9">
      <w:pPr>
        <w:pStyle w:val="Prrafodelista"/>
        <w:numPr>
          <w:ilvl w:val="0"/>
          <w:numId w:val="8"/>
        </w:numPr>
        <w:jc w:val="both"/>
        <w:rPr>
          <w:rFonts w:ascii="Arial" w:eastAsia="Times New Roman" w:hAnsi="Arial" w:cs="Arial"/>
          <w:color w:val="000000" w:themeColor="text1"/>
          <w:lang w:val="es-CO"/>
        </w:rPr>
      </w:pPr>
      <w:r w:rsidRPr="00AD393D">
        <w:rPr>
          <w:rFonts w:ascii="Arial" w:eastAsia="Times New Roman" w:hAnsi="Arial" w:cs="Arial"/>
          <w:color w:val="000000" w:themeColor="text1"/>
          <w:lang w:val="es-CO"/>
        </w:rPr>
        <w:t>Es necesario incluir el informe de ejecución presupuestal desagregado por dirección para el final de la vigencia como información suplementaria del informe de gestión.</w:t>
      </w:r>
    </w:p>
    <w:p w14:paraId="76117B5E" w14:textId="26D66D78" w:rsidR="0723639E" w:rsidRPr="00AD393D" w:rsidRDefault="0723639E" w:rsidP="6B92079F">
      <w:pPr>
        <w:pStyle w:val="Prrafodelista"/>
        <w:jc w:val="both"/>
        <w:rPr>
          <w:rFonts w:ascii="Arial" w:eastAsia="Times New Roman" w:hAnsi="Arial" w:cs="Arial"/>
          <w:color w:val="000000" w:themeColor="text1"/>
          <w:lang w:val="es-CO"/>
        </w:rPr>
      </w:pPr>
    </w:p>
    <w:p w14:paraId="1317D949" w14:textId="36DA9F0B" w:rsidR="0723639E" w:rsidRPr="00AD393D" w:rsidRDefault="6B92079F" w:rsidP="6B92079F">
      <w:pPr>
        <w:pStyle w:val="Prrafodelista"/>
        <w:numPr>
          <w:ilvl w:val="0"/>
          <w:numId w:val="8"/>
        </w:numPr>
        <w:jc w:val="both"/>
        <w:rPr>
          <w:rFonts w:ascii="Arial" w:eastAsia="Times New Roman" w:hAnsi="Arial" w:cs="Arial"/>
          <w:color w:val="000000" w:themeColor="text1"/>
          <w:lang w:val="es-CO"/>
        </w:rPr>
      </w:pPr>
      <w:r w:rsidRPr="00AD393D">
        <w:rPr>
          <w:rFonts w:ascii="Arial" w:eastAsia="Times New Roman" w:hAnsi="Arial" w:cs="Arial"/>
          <w:color w:val="000000" w:themeColor="text1"/>
          <w:lang w:val="es-CO"/>
        </w:rPr>
        <w:t xml:space="preserve">Se evidenciaron múltiples inconsistencias entre el documento remitido por la cartera para respuesta y el documento </w:t>
      </w:r>
      <w:r w:rsidRPr="00AD393D">
        <w:rPr>
          <w:rFonts w:ascii="Arial" w:eastAsia="Times New Roman" w:hAnsi="Arial" w:cs="Arial"/>
          <w:i/>
          <w:iCs/>
          <w:color w:val="000000" w:themeColor="text1"/>
          <w:lang w:val="es-CO"/>
        </w:rPr>
        <w:t>Informe al Congreso de la República 2022-2023.</w:t>
      </w:r>
    </w:p>
    <w:p w14:paraId="43DE36C5" w14:textId="3EFAAB35" w:rsidR="00771F50" w:rsidRDefault="00771F50">
      <w:pPr>
        <w:rPr>
          <w:rFonts w:ascii="Arial" w:eastAsia="Times New Roman" w:hAnsi="Arial" w:cs="Arial"/>
          <w:color w:val="000000" w:themeColor="text1"/>
        </w:rPr>
      </w:pPr>
      <w:r>
        <w:rPr>
          <w:rFonts w:ascii="Arial" w:eastAsia="Times New Roman" w:hAnsi="Arial" w:cs="Arial"/>
          <w:color w:val="000000" w:themeColor="text1"/>
        </w:rPr>
        <w:br w:type="page"/>
      </w:r>
    </w:p>
    <w:p w14:paraId="67649BF7" w14:textId="77777777" w:rsidR="00DC2EC7" w:rsidRPr="00AD393D" w:rsidRDefault="003919D8">
      <w:pPr>
        <w:numPr>
          <w:ilvl w:val="0"/>
          <w:numId w:val="10"/>
        </w:numPr>
        <w:jc w:val="both"/>
        <w:rPr>
          <w:rFonts w:ascii="Arial" w:eastAsia="Arial" w:hAnsi="Arial" w:cs="Arial"/>
          <w:b/>
          <w:sz w:val="24"/>
          <w:szCs w:val="24"/>
        </w:rPr>
      </w:pPr>
      <w:r w:rsidRPr="00AD393D">
        <w:rPr>
          <w:rFonts w:ascii="Arial" w:eastAsia="Arial" w:hAnsi="Arial" w:cs="Arial"/>
          <w:b/>
          <w:sz w:val="24"/>
          <w:szCs w:val="24"/>
        </w:rPr>
        <w:lastRenderedPageBreak/>
        <w:t>PROPOSICIÓN</w:t>
      </w:r>
    </w:p>
    <w:p w14:paraId="46EFDD0D" w14:textId="3FD3293A" w:rsidR="6B92079F" w:rsidRPr="00AD393D" w:rsidRDefault="6B92079F" w:rsidP="6B92079F">
      <w:pPr>
        <w:jc w:val="both"/>
        <w:rPr>
          <w:rFonts w:ascii="Arial" w:eastAsia="Arial" w:hAnsi="Arial" w:cs="Arial"/>
          <w:sz w:val="24"/>
          <w:szCs w:val="24"/>
          <w:u w:val="single"/>
        </w:rPr>
      </w:pPr>
      <w:r w:rsidRPr="00AD393D">
        <w:rPr>
          <w:rFonts w:ascii="Arial" w:eastAsia="Arial" w:hAnsi="Arial" w:cs="Arial"/>
          <w:sz w:val="24"/>
          <w:szCs w:val="24"/>
        </w:rPr>
        <w:t xml:space="preserve">Los Honorables representantes miembros de la </w:t>
      </w:r>
      <w:r w:rsidRPr="00AD393D">
        <w:rPr>
          <w:rFonts w:ascii="Arial" w:eastAsia="Arial" w:hAnsi="Arial" w:cs="Arial"/>
          <w:i/>
          <w:iCs/>
          <w:sz w:val="24"/>
          <w:szCs w:val="24"/>
        </w:rPr>
        <w:t>subcomisión para evaluar, dictaminar, y responder a los informes anuales de rendición de cuentas del Ministerio del Interior y del Ministerio de Justicia y del Derecho,</w:t>
      </w:r>
      <w:r w:rsidRPr="00AD393D">
        <w:rPr>
          <w:rFonts w:ascii="Arial" w:eastAsia="Arial" w:hAnsi="Arial" w:cs="Arial"/>
          <w:sz w:val="24"/>
          <w:szCs w:val="24"/>
        </w:rPr>
        <w:t xml:space="preserve"> ponemos a consideración y solicitamos a los miembros de la Honorable Comisión Primera de la Cámara de Representantes se apruebe el informe presentado.</w:t>
      </w:r>
    </w:p>
    <w:p w14:paraId="00EFDB5F" w14:textId="77777777" w:rsidR="00DC2EC7" w:rsidRPr="00AD393D" w:rsidRDefault="00DC2EC7">
      <w:pPr>
        <w:spacing w:after="0" w:line="240" w:lineRule="auto"/>
        <w:jc w:val="both"/>
        <w:rPr>
          <w:rFonts w:ascii="Arial" w:eastAsia="Arial" w:hAnsi="Arial" w:cs="Arial"/>
          <w:sz w:val="24"/>
          <w:szCs w:val="24"/>
        </w:rPr>
      </w:pPr>
    </w:p>
    <w:p w14:paraId="4AD578E3" w14:textId="1E29058F" w:rsidR="00DC2EC7" w:rsidRPr="00AD393D" w:rsidRDefault="003919D8">
      <w:pPr>
        <w:spacing w:after="0" w:line="240" w:lineRule="auto"/>
        <w:jc w:val="both"/>
        <w:rPr>
          <w:rFonts w:ascii="Arial" w:eastAsia="Arial" w:hAnsi="Arial" w:cs="Arial"/>
          <w:sz w:val="24"/>
          <w:szCs w:val="24"/>
        </w:rPr>
      </w:pPr>
      <w:r w:rsidRPr="00AD393D">
        <w:rPr>
          <w:rFonts w:ascii="Arial" w:eastAsia="Arial" w:hAnsi="Arial" w:cs="Arial"/>
          <w:sz w:val="24"/>
          <w:szCs w:val="24"/>
        </w:rPr>
        <w:t>De los Honorables Representantes,</w:t>
      </w:r>
    </w:p>
    <w:p w14:paraId="7A8B6E2C" w14:textId="77777777" w:rsidR="00DC2EC7" w:rsidRPr="00AD393D" w:rsidRDefault="00DC2EC7">
      <w:pPr>
        <w:spacing w:after="0" w:line="240" w:lineRule="auto"/>
        <w:jc w:val="both"/>
        <w:rPr>
          <w:rFonts w:ascii="Arial" w:eastAsia="Arial" w:hAnsi="Arial" w:cs="Arial"/>
          <w:sz w:val="24"/>
          <w:szCs w:val="24"/>
        </w:rPr>
      </w:pPr>
    </w:p>
    <w:p w14:paraId="1CA701CE" w14:textId="77777777" w:rsidR="00927724" w:rsidRPr="00AD393D" w:rsidRDefault="00927724">
      <w:pPr>
        <w:spacing w:after="0" w:line="240" w:lineRule="auto"/>
        <w:jc w:val="both"/>
        <w:rPr>
          <w:rFonts w:ascii="Arial" w:eastAsia="Arial" w:hAnsi="Arial" w:cs="Arial"/>
          <w:sz w:val="24"/>
          <w:szCs w:val="24"/>
        </w:rPr>
      </w:pPr>
    </w:p>
    <w:p w14:paraId="35A9AD08" w14:textId="6DD4493C" w:rsidR="00927724" w:rsidRDefault="00927724" w:rsidP="00927724">
      <w:pPr>
        <w:spacing w:after="0" w:line="240" w:lineRule="auto"/>
        <w:jc w:val="both"/>
        <w:rPr>
          <w:rFonts w:ascii="Arial" w:eastAsia="Arial" w:hAnsi="Arial" w:cs="Arial"/>
          <w:sz w:val="24"/>
          <w:szCs w:val="24"/>
        </w:rPr>
      </w:pPr>
    </w:p>
    <w:p w14:paraId="040A8028" w14:textId="77777777" w:rsidR="00771F50" w:rsidRPr="00AD393D" w:rsidRDefault="00771F50" w:rsidP="00927724">
      <w:pPr>
        <w:spacing w:after="0" w:line="240" w:lineRule="auto"/>
        <w:jc w:val="both"/>
        <w:rPr>
          <w:rFonts w:ascii="Arial" w:eastAsia="Arial" w:hAnsi="Arial" w:cs="Arial"/>
          <w:sz w:val="24"/>
          <w:szCs w:val="24"/>
        </w:rPr>
      </w:pPr>
    </w:p>
    <w:p w14:paraId="495FD4AA" w14:textId="77777777" w:rsidR="00927724" w:rsidRPr="00AD393D" w:rsidRDefault="00927724" w:rsidP="00927724">
      <w:pPr>
        <w:spacing w:after="0" w:line="240" w:lineRule="auto"/>
        <w:jc w:val="both"/>
        <w:rPr>
          <w:rFonts w:ascii="Arial" w:eastAsia="Arial" w:hAnsi="Arial" w:cs="Arial"/>
          <w:sz w:val="24"/>
          <w:szCs w:val="24"/>
        </w:rPr>
      </w:pPr>
    </w:p>
    <w:p w14:paraId="7C6E568B" w14:textId="77777777" w:rsidR="00927724" w:rsidRPr="00AD393D" w:rsidRDefault="00927724" w:rsidP="00927724">
      <w:pPr>
        <w:spacing w:after="0" w:line="240" w:lineRule="auto"/>
        <w:jc w:val="both"/>
        <w:rPr>
          <w:rFonts w:ascii="Arial" w:eastAsia="Arial" w:hAnsi="Arial" w:cs="Arial"/>
          <w:b/>
          <w:sz w:val="24"/>
          <w:szCs w:val="24"/>
        </w:rPr>
      </w:pPr>
      <w:r w:rsidRPr="00AD393D">
        <w:rPr>
          <w:rFonts w:ascii="Arial" w:eastAsia="Arial" w:hAnsi="Arial" w:cs="Arial"/>
          <w:b/>
          <w:sz w:val="24"/>
          <w:szCs w:val="24"/>
        </w:rPr>
        <w:t>JULIO CÉSAR TRIANA QUINTERO</w:t>
      </w:r>
      <w:r w:rsidRPr="00AD393D">
        <w:rPr>
          <w:rFonts w:ascii="Arial" w:eastAsia="Arial" w:hAnsi="Arial" w:cs="Arial"/>
          <w:b/>
          <w:sz w:val="24"/>
          <w:szCs w:val="24"/>
        </w:rPr>
        <w:tab/>
      </w:r>
      <w:r w:rsidRPr="00AD393D">
        <w:rPr>
          <w:rFonts w:ascii="Arial" w:eastAsia="Arial" w:hAnsi="Arial" w:cs="Arial"/>
          <w:b/>
          <w:sz w:val="24"/>
          <w:szCs w:val="24"/>
        </w:rPr>
        <w:tab/>
        <w:t>DUVALIER SÁNCHEZ ARANGO</w:t>
      </w:r>
    </w:p>
    <w:p w14:paraId="2FFB1C11" w14:textId="77777777" w:rsidR="00927724" w:rsidRPr="00AD393D" w:rsidRDefault="00927724" w:rsidP="00927724">
      <w:pPr>
        <w:spacing w:after="0" w:line="240" w:lineRule="auto"/>
        <w:jc w:val="both"/>
        <w:rPr>
          <w:rFonts w:ascii="Arial" w:eastAsia="Arial" w:hAnsi="Arial" w:cs="Arial"/>
          <w:sz w:val="24"/>
          <w:szCs w:val="24"/>
        </w:rPr>
      </w:pPr>
      <w:r w:rsidRPr="00AD393D">
        <w:rPr>
          <w:rFonts w:ascii="Arial" w:eastAsia="Arial" w:hAnsi="Arial" w:cs="Arial"/>
          <w:sz w:val="24"/>
          <w:szCs w:val="24"/>
        </w:rPr>
        <w:t xml:space="preserve">Representante a la Cámara </w:t>
      </w:r>
      <w:r w:rsidRPr="00AD393D">
        <w:rPr>
          <w:rFonts w:ascii="Arial" w:eastAsia="Arial" w:hAnsi="Arial" w:cs="Arial"/>
          <w:sz w:val="24"/>
          <w:szCs w:val="24"/>
        </w:rPr>
        <w:tab/>
      </w:r>
      <w:r w:rsidRPr="00AD393D">
        <w:rPr>
          <w:rFonts w:ascii="Arial" w:eastAsia="Arial" w:hAnsi="Arial" w:cs="Arial"/>
          <w:sz w:val="24"/>
          <w:szCs w:val="24"/>
        </w:rPr>
        <w:tab/>
      </w:r>
      <w:r w:rsidRPr="00AD393D">
        <w:rPr>
          <w:rFonts w:ascii="Arial" w:eastAsia="Arial" w:hAnsi="Arial" w:cs="Arial"/>
          <w:sz w:val="24"/>
          <w:szCs w:val="24"/>
        </w:rPr>
        <w:tab/>
        <w:t>Representante a la Cámara</w:t>
      </w:r>
    </w:p>
    <w:p w14:paraId="4F707E88" w14:textId="5C7E3516" w:rsidR="00927724" w:rsidRPr="00AD393D" w:rsidRDefault="00927724" w:rsidP="00927724">
      <w:pPr>
        <w:spacing w:after="0" w:line="240" w:lineRule="auto"/>
        <w:jc w:val="both"/>
        <w:rPr>
          <w:rFonts w:ascii="Arial" w:eastAsia="Arial" w:hAnsi="Arial" w:cs="Arial"/>
          <w:sz w:val="24"/>
          <w:szCs w:val="24"/>
        </w:rPr>
      </w:pPr>
      <w:r w:rsidRPr="00AD393D">
        <w:rPr>
          <w:rFonts w:ascii="Arial" w:eastAsia="Arial" w:hAnsi="Arial" w:cs="Arial"/>
          <w:sz w:val="24"/>
          <w:szCs w:val="24"/>
        </w:rPr>
        <w:t>Departamento del Huila</w:t>
      </w:r>
      <w:r w:rsidRPr="00AD393D">
        <w:rPr>
          <w:rFonts w:ascii="Arial" w:eastAsia="Arial" w:hAnsi="Arial" w:cs="Arial"/>
          <w:sz w:val="24"/>
          <w:szCs w:val="24"/>
        </w:rPr>
        <w:tab/>
      </w:r>
      <w:r w:rsidRPr="00AD393D">
        <w:rPr>
          <w:rFonts w:ascii="Arial" w:eastAsia="Arial" w:hAnsi="Arial" w:cs="Arial"/>
          <w:sz w:val="24"/>
          <w:szCs w:val="24"/>
        </w:rPr>
        <w:tab/>
      </w:r>
      <w:r w:rsidRPr="00AD393D">
        <w:rPr>
          <w:rFonts w:ascii="Arial" w:eastAsia="Arial" w:hAnsi="Arial" w:cs="Arial"/>
          <w:sz w:val="24"/>
          <w:szCs w:val="24"/>
        </w:rPr>
        <w:tab/>
      </w:r>
      <w:r w:rsidRPr="00AD393D">
        <w:rPr>
          <w:rFonts w:ascii="Arial" w:eastAsia="Arial" w:hAnsi="Arial" w:cs="Arial"/>
          <w:sz w:val="24"/>
          <w:szCs w:val="24"/>
        </w:rPr>
        <w:tab/>
        <w:t>Departamento de Valle del Cauca</w:t>
      </w:r>
    </w:p>
    <w:p w14:paraId="29B316C0" w14:textId="77777777" w:rsidR="00927724" w:rsidRPr="00AD393D" w:rsidRDefault="00927724" w:rsidP="00927724">
      <w:pPr>
        <w:spacing w:after="0" w:line="240" w:lineRule="auto"/>
        <w:jc w:val="both"/>
        <w:rPr>
          <w:rFonts w:ascii="Arial" w:eastAsia="Arial" w:hAnsi="Arial" w:cs="Arial"/>
          <w:sz w:val="24"/>
          <w:szCs w:val="24"/>
        </w:rPr>
      </w:pPr>
    </w:p>
    <w:p w14:paraId="567C9A71" w14:textId="21E32DAA" w:rsidR="00927724" w:rsidRDefault="00927724" w:rsidP="00927724">
      <w:pPr>
        <w:spacing w:after="0" w:line="240" w:lineRule="auto"/>
        <w:jc w:val="both"/>
        <w:rPr>
          <w:rFonts w:ascii="Arial" w:eastAsia="Arial" w:hAnsi="Arial" w:cs="Arial"/>
          <w:sz w:val="24"/>
          <w:szCs w:val="24"/>
        </w:rPr>
      </w:pPr>
    </w:p>
    <w:p w14:paraId="235B8FE7" w14:textId="77777777" w:rsidR="00771F50" w:rsidRPr="00AD393D" w:rsidRDefault="00771F50" w:rsidP="00927724">
      <w:pPr>
        <w:spacing w:after="0" w:line="240" w:lineRule="auto"/>
        <w:jc w:val="both"/>
        <w:rPr>
          <w:rFonts w:ascii="Arial" w:eastAsia="Arial" w:hAnsi="Arial" w:cs="Arial"/>
          <w:sz w:val="24"/>
          <w:szCs w:val="24"/>
        </w:rPr>
      </w:pPr>
    </w:p>
    <w:p w14:paraId="053DC0F7" w14:textId="77777777" w:rsidR="00927724" w:rsidRPr="00AD393D" w:rsidRDefault="00927724" w:rsidP="00927724">
      <w:pPr>
        <w:spacing w:after="0" w:line="240" w:lineRule="auto"/>
        <w:jc w:val="both"/>
        <w:rPr>
          <w:rFonts w:ascii="Arial" w:eastAsia="Arial" w:hAnsi="Arial" w:cs="Arial"/>
          <w:sz w:val="24"/>
          <w:szCs w:val="24"/>
        </w:rPr>
      </w:pPr>
    </w:p>
    <w:p w14:paraId="2D206407" w14:textId="77777777" w:rsidR="00927724" w:rsidRPr="00AD393D" w:rsidRDefault="00927724" w:rsidP="00927724">
      <w:pPr>
        <w:spacing w:after="0" w:line="240" w:lineRule="auto"/>
        <w:jc w:val="both"/>
        <w:rPr>
          <w:rFonts w:ascii="Arial" w:eastAsia="Arial" w:hAnsi="Arial" w:cs="Arial"/>
          <w:sz w:val="24"/>
          <w:szCs w:val="24"/>
        </w:rPr>
      </w:pPr>
    </w:p>
    <w:p w14:paraId="4EAA1F08" w14:textId="77777777" w:rsidR="00927724" w:rsidRPr="00AD393D" w:rsidRDefault="00927724" w:rsidP="00927724">
      <w:pPr>
        <w:spacing w:after="0" w:line="240" w:lineRule="auto"/>
        <w:jc w:val="both"/>
        <w:rPr>
          <w:rFonts w:ascii="Arial" w:eastAsia="Arial" w:hAnsi="Arial" w:cs="Arial"/>
          <w:b/>
          <w:sz w:val="24"/>
          <w:szCs w:val="24"/>
        </w:rPr>
      </w:pPr>
      <w:r w:rsidRPr="00AD393D">
        <w:rPr>
          <w:rFonts w:ascii="Arial" w:eastAsia="Arial" w:hAnsi="Arial" w:cs="Arial"/>
          <w:b/>
          <w:sz w:val="24"/>
          <w:szCs w:val="24"/>
        </w:rPr>
        <w:t>KARYME ADRANA COTES</w:t>
      </w:r>
      <w:r w:rsidRPr="00AD393D">
        <w:rPr>
          <w:rFonts w:ascii="Arial" w:eastAsia="Arial" w:hAnsi="Arial" w:cs="Arial"/>
          <w:b/>
          <w:sz w:val="24"/>
          <w:szCs w:val="24"/>
        </w:rPr>
        <w:tab/>
      </w:r>
      <w:r w:rsidRPr="00AD393D">
        <w:rPr>
          <w:rFonts w:ascii="Arial" w:eastAsia="Arial" w:hAnsi="Arial" w:cs="Arial"/>
          <w:b/>
          <w:sz w:val="24"/>
          <w:szCs w:val="24"/>
        </w:rPr>
        <w:tab/>
      </w:r>
      <w:r w:rsidRPr="00AD393D">
        <w:rPr>
          <w:rFonts w:ascii="Arial" w:eastAsia="Arial" w:hAnsi="Arial" w:cs="Arial"/>
          <w:b/>
          <w:sz w:val="24"/>
          <w:szCs w:val="24"/>
        </w:rPr>
        <w:tab/>
        <w:t>ANA PAOLA GARCÍA SOTO</w:t>
      </w:r>
    </w:p>
    <w:p w14:paraId="6F75627A" w14:textId="77777777" w:rsidR="00927724" w:rsidRPr="00AD393D" w:rsidRDefault="00927724" w:rsidP="00927724">
      <w:pPr>
        <w:spacing w:after="0" w:line="240" w:lineRule="auto"/>
        <w:jc w:val="both"/>
        <w:rPr>
          <w:rFonts w:ascii="Arial" w:eastAsia="Arial" w:hAnsi="Arial" w:cs="Arial"/>
          <w:sz w:val="24"/>
          <w:szCs w:val="24"/>
        </w:rPr>
      </w:pPr>
      <w:r w:rsidRPr="00AD393D">
        <w:rPr>
          <w:rFonts w:ascii="Arial" w:eastAsia="Arial" w:hAnsi="Arial" w:cs="Arial"/>
          <w:sz w:val="24"/>
          <w:szCs w:val="24"/>
        </w:rPr>
        <w:t>Representante a la Cámara</w:t>
      </w:r>
      <w:r w:rsidRPr="00AD393D">
        <w:rPr>
          <w:rFonts w:ascii="Arial" w:eastAsia="Arial" w:hAnsi="Arial" w:cs="Arial"/>
          <w:sz w:val="24"/>
          <w:szCs w:val="24"/>
        </w:rPr>
        <w:tab/>
      </w:r>
      <w:r w:rsidRPr="00AD393D">
        <w:rPr>
          <w:rFonts w:ascii="Arial" w:eastAsia="Arial" w:hAnsi="Arial" w:cs="Arial"/>
          <w:sz w:val="24"/>
          <w:szCs w:val="24"/>
        </w:rPr>
        <w:tab/>
      </w:r>
      <w:r w:rsidRPr="00AD393D">
        <w:rPr>
          <w:rFonts w:ascii="Arial" w:eastAsia="Arial" w:hAnsi="Arial" w:cs="Arial"/>
          <w:sz w:val="24"/>
          <w:szCs w:val="24"/>
        </w:rPr>
        <w:tab/>
        <w:t>Representante a la Cámara</w:t>
      </w:r>
    </w:p>
    <w:p w14:paraId="7B280539" w14:textId="054FC3BB" w:rsidR="00927724" w:rsidRPr="00AD393D" w:rsidRDefault="00927724" w:rsidP="00927724">
      <w:pPr>
        <w:spacing w:after="0" w:line="240" w:lineRule="auto"/>
        <w:jc w:val="both"/>
        <w:rPr>
          <w:rFonts w:ascii="Arial" w:eastAsia="Arial" w:hAnsi="Arial" w:cs="Arial"/>
          <w:sz w:val="24"/>
          <w:szCs w:val="24"/>
        </w:rPr>
      </w:pPr>
      <w:r w:rsidRPr="00AD393D">
        <w:rPr>
          <w:rFonts w:ascii="Arial" w:eastAsia="Arial" w:hAnsi="Arial" w:cs="Arial"/>
          <w:sz w:val="24"/>
          <w:szCs w:val="24"/>
        </w:rPr>
        <w:t>Departamento de Sucre</w:t>
      </w:r>
      <w:r w:rsidRPr="00AD393D">
        <w:rPr>
          <w:rFonts w:ascii="Arial" w:eastAsia="Arial" w:hAnsi="Arial" w:cs="Arial"/>
          <w:sz w:val="24"/>
          <w:szCs w:val="24"/>
        </w:rPr>
        <w:tab/>
      </w:r>
      <w:r w:rsidRPr="00AD393D">
        <w:rPr>
          <w:rFonts w:ascii="Arial" w:eastAsia="Arial" w:hAnsi="Arial" w:cs="Arial"/>
          <w:sz w:val="24"/>
          <w:szCs w:val="24"/>
        </w:rPr>
        <w:tab/>
      </w:r>
      <w:r w:rsidRPr="00AD393D">
        <w:rPr>
          <w:rFonts w:ascii="Arial" w:eastAsia="Arial" w:hAnsi="Arial" w:cs="Arial"/>
          <w:sz w:val="24"/>
          <w:szCs w:val="24"/>
        </w:rPr>
        <w:tab/>
      </w:r>
      <w:r w:rsidRPr="00AD393D">
        <w:rPr>
          <w:rFonts w:ascii="Arial" w:eastAsia="Arial" w:hAnsi="Arial" w:cs="Arial"/>
          <w:sz w:val="24"/>
          <w:szCs w:val="24"/>
        </w:rPr>
        <w:tab/>
        <w:t>Departamento de Córdoba</w:t>
      </w:r>
    </w:p>
    <w:sectPr w:rsidR="00927724" w:rsidRPr="00AD393D">
      <w:headerReference w:type="default" r:id="rId9"/>
      <w:footerReference w:type="default" r:id="rId10"/>
      <w:headerReference w:type="first" r:id="rId11"/>
      <w:pgSz w:w="12240" w:h="15840"/>
      <w:pgMar w:top="1701" w:right="1701" w:bottom="1672"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41A93" w14:textId="77777777" w:rsidR="009D5A32" w:rsidRDefault="009D5A32">
      <w:pPr>
        <w:spacing w:after="0" w:line="240" w:lineRule="auto"/>
      </w:pPr>
      <w:r>
        <w:separator/>
      </w:r>
    </w:p>
  </w:endnote>
  <w:endnote w:type="continuationSeparator" w:id="0">
    <w:p w14:paraId="5E83318D" w14:textId="77777777" w:rsidR="009D5A32" w:rsidRDefault="009D5A32">
      <w:pPr>
        <w:spacing w:after="0" w:line="240" w:lineRule="auto"/>
      </w:pPr>
      <w:r>
        <w:continuationSeparator/>
      </w:r>
    </w:p>
  </w:endnote>
  <w:endnote w:type="continuationNotice" w:id="1">
    <w:p w14:paraId="2056854E" w14:textId="77777777" w:rsidR="009D5A32" w:rsidRDefault="009D5A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altName w:val="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4D3E4" w14:textId="77777777" w:rsidR="003919D8" w:rsidRDefault="003919D8">
    <w:pPr>
      <w:pBdr>
        <w:top w:val="nil"/>
        <w:left w:val="nil"/>
        <w:bottom w:val="nil"/>
        <w:right w:val="nil"/>
        <w:between w:val="nil"/>
      </w:pBdr>
      <w:tabs>
        <w:tab w:val="center" w:pos="4419"/>
        <w:tab w:val="right" w:pos="8838"/>
      </w:tabs>
      <w:spacing w:after="0" w:line="240" w:lineRule="auto"/>
      <w:rPr>
        <w:rFonts w:ascii="Arial" w:eastAsia="Arial" w:hAnsi="Arial" w:cs="Arial"/>
        <w:b/>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E0480" w14:textId="77777777" w:rsidR="009D5A32" w:rsidRDefault="009D5A32">
      <w:pPr>
        <w:spacing w:after="0" w:line="240" w:lineRule="auto"/>
      </w:pPr>
      <w:r>
        <w:separator/>
      </w:r>
    </w:p>
  </w:footnote>
  <w:footnote w:type="continuationSeparator" w:id="0">
    <w:p w14:paraId="5B9D609C" w14:textId="77777777" w:rsidR="009D5A32" w:rsidRDefault="009D5A32">
      <w:pPr>
        <w:spacing w:after="0" w:line="240" w:lineRule="auto"/>
      </w:pPr>
      <w:r>
        <w:continuationSeparator/>
      </w:r>
    </w:p>
  </w:footnote>
  <w:footnote w:type="continuationNotice" w:id="1">
    <w:p w14:paraId="15954DEE" w14:textId="77777777" w:rsidR="009D5A32" w:rsidRDefault="009D5A32">
      <w:pPr>
        <w:spacing w:after="0" w:line="240" w:lineRule="auto"/>
      </w:pPr>
    </w:p>
  </w:footnote>
  <w:footnote w:id="2">
    <w:p w14:paraId="417982A4" w14:textId="6A0F509A" w:rsidR="0003263F" w:rsidRDefault="0003263F" w:rsidP="0003263F">
      <w:pPr>
        <w:pStyle w:val="Textonotapie"/>
        <w:jc w:val="both"/>
      </w:pPr>
      <w:r>
        <w:rPr>
          <w:rStyle w:val="Refdenotaalpie"/>
        </w:rPr>
        <w:footnoteRef/>
      </w:r>
      <w:r>
        <w:t xml:space="preserve"> Ministerio del Interior. 2024. Ejecución Presupuestal Vigencia diciembre 2023. </w:t>
      </w:r>
      <w:r w:rsidRPr="00475E7E">
        <w:t xml:space="preserve">Seguimiento al cumplimiento de la </w:t>
      </w:r>
      <w:r>
        <w:t>S</w:t>
      </w:r>
      <w:r w:rsidRPr="00475E7E">
        <w:t xml:space="preserve">entencia </w:t>
      </w:r>
      <w:r>
        <w:t>T</w:t>
      </w:r>
      <w:r w:rsidRPr="00475E7E">
        <w:t>-025 de 2004 población desplazada</w:t>
      </w:r>
      <w:r>
        <w:t>.</w:t>
      </w:r>
      <w:r w:rsidRPr="00475E7E">
        <w:t xml:space="preserve"> </w:t>
      </w:r>
      <w:hyperlink r:id="rId1" w:history="1">
        <w:r w:rsidRPr="00863A72">
          <w:rPr>
            <w:rStyle w:val="Hipervnculo"/>
          </w:rPr>
          <w:t>https://www.mininterior.gov.co/wp-content/uploads/2023/11/12.-ejecucion-presupuestal-cierre-31-de-diciembre-de-2023.xlsx</w:t>
        </w:r>
      </w:hyperlink>
      <w:r>
        <w:t xml:space="preserve"> </w:t>
      </w:r>
    </w:p>
  </w:footnote>
  <w:footnote w:id="3">
    <w:p w14:paraId="58D81965" w14:textId="62B142F8" w:rsidR="6B92079F" w:rsidRDefault="6B92079F" w:rsidP="6B92079F">
      <w:pPr>
        <w:pStyle w:val="Textonotapie"/>
        <w:jc w:val="both"/>
        <w:rPr>
          <w:rStyle w:val="Hipervnculo"/>
        </w:rPr>
      </w:pPr>
      <w:r w:rsidRPr="6B92079F">
        <w:rPr>
          <w:rStyle w:val="Refdenotaalpie"/>
        </w:rPr>
        <w:footnoteRef/>
      </w:r>
      <w:r>
        <w:t xml:space="preserve"> Ministerio del Interior. 2024. Ejecución Presupuestal Vigencia Diciembre 2023. Por direcciones. Rubro C-3701-1000-18. </w:t>
      </w:r>
      <w:hyperlink r:id="rId2">
        <w:r w:rsidRPr="6B92079F">
          <w:rPr>
            <w:rStyle w:val="Hipervnculo"/>
          </w:rPr>
          <w:t>https://www.mininterior.gov.co/wp-content/uploads/2023/11/12.-ejecucion-presupuestal-cierre-31-de-diciembre-de-2023.xlsx</w:t>
        </w:r>
      </w:hyperlink>
    </w:p>
    <w:p w14:paraId="1F2BDAA9" w14:textId="4FEFD9CC" w:rsidR="6B92079F" w:rsidRDefault="6B92079F" w:rsidP="6B92079F">
      <w:pPr>
        <w:pStyle w:val="Textonotapie"/>
      </w:pPr>
    </w:p>
  </w:footnote>
  <w:footnote w:id="4">
    <w:p w14:paraId="194ADFDE" w14:textId="2120D8B9" w:rsidR="6B92079F" w:rsidRDefault="6B92079F" w:rsidP="6B92079F">
      <w:pPr>
        <w:pStyle w:val="Textonotapie"/>
      </w:pPr>
      <w:r w:rsidRPr="6B92079F">
        <w:rPr>
          <w:rStyle w:val="Refdenotaalpie"/>
        </w:rPr>
        <w:footnoteRef/>
      </w:r>
      <w:r>
        <w:t xml:space="preserve"> Ministerio de Interior. 2022. Informe de Gestión al Congreso de la República 2021-2022. </w:t>
      </w:r>
      <w:hyperlink r:id="rId3">
        <w:r w:rsidRPr="6B92079F">
          <w:rPr>
            <w:rStyle w:val="Hipervnculo"/>
          </w:rPr>
          <w:t>https://www.mininterior.gov.co/wp-content/uploads/2022/07/INFORME-CONGRESO-DE-LA-REPUBLICA-2021-2022.pdf</w:t>
        </w:r>
      </w:hyperlink>
    </w:p>
  </w:footnote>
  <w:footnote w:id="5">
    <w:p w14:paraId="1196E93C" w14:textId="57FD246A" w:rsidR="002124CA" w:rsidRDefault="002124CA">
      <w:pPr>
        <w:pStyle w:val="Textonotapie"/>
      </w:pPr>
      <w:r>
        <w:rPr>
          <w:rStyle w:val="Refdenotaalpie"/>
        </w:rPr>
        <w:footnoteRef/>
      </w:r>
      <w:r>
        <w:t xml:space="preserve"> Ministerio del Interior. 2024. Informe al Congreso de la República 2022-2023.</w:t>
      </w:r>
      <w:r w:rsidR="00D25345" w:rsidRPr="00D25345">
        <w:t xml:space="preserve"> </w:t>
      </w:r>
      <w:hyperlink w:history="1">
        <w:r w:rsidR="00616627" w:rsidRPr="000455B1">
          <w:rPr>
            <w:rStyle w:val="Hipervnculo"/>
          </w:rPr>
          <w:t>https://www.mininterior.gov .co/wp-content/uploads/2022/12/02-ago-informe-de-gestion-al-congreso_f4.pdf</w:t>
        </w:r>
      </w:hyperlink>
      <w:r w:rsidR="00D25345">
        <w:t xml:space="preserve"> </w:t>
      </w:r>
    </w:p>
  </w:footnote>
  <w:footnote w:id="6">
    <w:p w14:paraId="24C64CF9" w14:textId="3D0685A3" w:rsidR="6B92079F" w:rsidRDefault="6B92079F" w:rsidP="6B92079F">
      <w:pPr>
        <w:pStyle w:val="Textonotapie"/>
      </w:pPr>
      <w:r w:rsidRPr="6B92079F">
        <w:rPr>
          <w:rStyle w:val="Refdenotaalpie"/>
        </w:rPr>
        <w:footnoteRef/>
      </w:r>
      <w:r>
        <w:t xml:space="preserve"> Ministerio de Interior. 2022. Informe de Gestión al Congreso de la República 2021-2022. Secretaría Técnica de la Comisión Intersectorial para la Atención Rápida a las</w:t>
      </w:r>
      <w:r w:rsidR="00AD393D">
        <w:t xml:space="preserve"> </w:t>
      </w:r>
      <w:r>
        <w:t xml:space="preserve">Alertas Tempranas – CIPRAT. Pag 198 – 221. </w:t>
      </w:r>
      <w:hyperlink r:id="rId4" w:history="1">
        <w:r w:rsidR="00AD393D" w:rsidRPr="00E61517">
          <w:rPr>
            <w:rStyle w:val="Hipervnculo"/>
          </w:rPr>
          <w:t>https://www.mininterior.gov.co/wp-content/uploads/2022/07/ INFORME-CONGRESO-DE-LA-REPUBLICA-2021-2022.pdf</w:t>
        </w:r>
      </w:hyperlink>
    </w:p>
  </w:footnote>
  <w:footnote w:id="7">
    <w:p w14:paraId="37E91202" w14:textId="766497E4" w:rsidR="6B92079F" w:rsidRDefault="6B92079F" w:rsidP="6B92079F">
      <w:pPr>
        <w:pStyle w:val="Textonotapie"/>
      </w:pPr>
      <w:r w:rsidRPr="6B92079F">
        <w:rPr>
          <w:rStyle w:val="Refdenotaalpie"/>
        </w:rPr>
        <w:footnoteRef/>
      </w:r>
      <w:r>
        <w:t xml:space="preserve"> Ministerio de Interior. 2022. Informe de Gestión al Congreso de la República 2021-2022. Subdirección</w:t>
      </w:r>
      <w:r w:rsidR="00AD393D">
        <w:t xml:space="preserve"> </w:t>
      </w:r>
      <w:r>
        <w:t xml:space="preserve">de Proyectos para la Seguridad y Convivencia Ciudadana. Pag 240-242.  </w:t>
      </w:r>
      <w:hyperlink r:id="rId5">
        <w:r w:rsidRPr="6B92079F">
          <w:rPr>
            <w:rStyle w:val="Hipervnculo"/>
          </w:rPr>
          <w:t>https://www.mininterior.gov.co/wp-content/uploads/2022/07/INFORME-CONGRESO-DE-LA-REPUBLICA-2021-2022.pdf</w:t>
        </w:r>
      </w:hyperlink>
    </w:p>
  </w:footnote>
  <w:footnote w:id="8">
    <w:p w14:paraId="19B087D1" w14:textId="3C3836A7" w:rsidR="0723639E" w:rsidRDefault="0723639E" w:rsidP="009B4745">
      <w:pPr>
        <w:pStyle w:val="Textonotapie"/>
        <w:jc w:val="both"/>
      </w:pPr>
      <w:r w:rsidRPr="0723639E">
        <w:rPr>
          <w:rStyle w:val="Refdenotaalpie"/>
        </w:rPr>
        <w:footnoteRef/>
      </w:r>
      <w:r w:rsidRPr="0723639E">
        <w:t xml:space="preserve"> Ministerio de Interior. 2022. Informe de Gestión al Congreso de la República 2021-2022. </w:t>
      </w:r>
      <w:hyperlink r:id="rId6">
        <w:r w:rsidRPr="0723639E">
          <w:rPr>
            <w:rStyle w:val="Hipervnculo"/>
          </w:rPr>
          <w:t>https://www.mininterior.gov.co/wp-content/uploads/2022/07/INFORME-CONGRESO-DE-LA-REPUBLICA-2021-2022.pdf</w:t>
        </w:r>
      </w:hyperlink>
      <w:r w:rsidRPr="0723639E">
        <w:t xml:space="preserve"> </w:t>
      </w:r>
    </w:p>
  </w:footnote>
  <w:footnote w:id="9">
    <w:p w14:paraId="3F7C27C3" w14:textId="77777777" w:rsidR="004B777E" w:rsidRDefault="004B777E" w:rsidP="009B4745">
      <w:pPr>
        <w:pStyle w:val="Textonotapie"/>
        <w:jc w:val="both"/>
      </w:pPr>
      <w:r>
        <w:rPr>
          <w:rStyle w:val="Refdenotaalpie"/>
        </w:rPr>
        <w:footnoteRef/>
      </w:r>
      <w:r>
        <w:t xml:space="preserve"> Ministerio del Interior. 2024. Ejecución Presupuestal Vigencia Diciembre 2023. </w:t>
      </w:r>
      <w:r w:rsidRPr="00475E7E">
        <w:t xml:space="preserve">Seguimiento al cumplimiento de la </w:t>
      </w:r>
      <w:r>
        <w:t>S</w:t>
      </w:r>
      <w:r w:rsidRPr="00475E7E">
        <w:t xml:space="preserve">entencia </w:t>
      </w:r>
      <w:r>
        <w:t>T</w:t>
      </w:r>
      <w:r w:rsidRPr="00475E7E">
        <w:t>-025 de 2004 población desplazada</w:t>
      </w:r>
      <w:r>
        <w:t>.</w:t>
      </w:r>
      <w:r w:rsidRPr="00475E7E">
        <w:t xml:space="preserve"> </w:t>
      </w:r>
      <w:hyperlink r:id="rId7" w:history="1">
        <w:r w:rsidRPr="00863A72">
          <w:rPr>
            <w:rStyle w:val="Hipervnculo"/>
          </w:rPr>
          <w:t>https://www.mininterior.gov.co/wp-content/uploads/2023/11/12.-ejecucion-presupuestal-cierre-31-de-diciembre-de-2023.xlsx</w:t>
        </w:r>
      </w:hyperlink>
      <w:r>
        <w:t xml:space="preserve"> </w:t>
      </w:r>
    </w:p>
  </w:footnote>
  <w:footnote w:id="10">
    <w:p w14:paraId="5D4B6200" w14:textId="6D773F91" w:rsidR="6B92079F" w:rsidRDefault="6B92079F" w:rsidP="6B92079F">
      <w:pPr>
        <w:pStyle w:val="Textonotapie"/>
      </w:pPr>
      <w:r w:rsidRPr="6B92079F">
        <w:rPr>
          <w:rStyle w:val="Refdenotaalpie"/>
        </w:rPr>
        <w:footnoteRef/>
      </w:r>
      <w:r>
        <w:t xml:space="preserve"> Ministerio del Interior. 2024. Ejecución Presupuestal Vigencia diciembre 2023. Sistemas de información para el seguimiento y fortalecimiento de la implementación de la política pública de víctimas. Pag 248. </w:t>
      </w:r>
      <w:hyperlink r:id="rId8">
        <w:r w:rsidRPr="6B92079F">
          <w:rPr>
            <w:rStyle w:val="Hipervnculo"/>
          </w:rPr>
          <w:t>https://www.mininterior.gov.co/wp-content/uploads/2023/11/12.-ejecucion-presupuestal-cierre-31-de-diciembre-de-2023.xlsx</w:t>
        </w:r>
      </w:hyperlink>
    </w:p>
  </w:footnote>
  <w:footnote w:id="11">
    <w:p w14:paraId="59EABA5D" w14:textId="5153585F" w:rsidR="00AD0723" w:rsidRDefault="00AD0723" w:rsidP="009B4745">
      <w:pPr>
        <w:pStyle w:val="Textonotapie"/>
        <w:jc w:val="both"/>
      </w:pPr>
      <w:r>
        <w:rPr>
          <w:rStyle w:val="Refdenotaalpie"/>
        </w:rPr>
        <w:footnoteRef/>
      </w:r>
      <w:r>
        <w:t xml:space="preserve"> </w:t>
      </w:r>
      <w:r w:rsidR="00686383">
        <w:t>Ministerio del Interior. 2024. Ejecución Presupuestal Vigencia Diciembre</w:t>
      </w:r>
      <w:r w:rsidR="00475E7E">
        <w:t xml:space="preserve"> 2023</w:t>
      </w:r>
      <w:r w:rsidR="00686383">
        <w:t xml:space="preserve">. </w:t>
      </w:r>
      <w:r w:rsidR="00475E7E" w:rsidRPr="00475E7E">
        <w:t xml:space="preserve">Seguimiento al cumplimiento de la </w:t>
      </w:r>
      <w:r w:rsidR="00475E7E">
        <w:t>S</w:t>
      </w:r>
      <w:r w:rsidR="00475E7E" w:rsidRPr="00475E7E">
        <w:t xml:space="preserve">entencia </w:t>
      </w:r>
      <w:r w:rsidR="00475E7E">
        <w:t>T</w:t>
      </w:r>
      <w:r w:rsidR="00475E7E" w:rsidRPr="00475E7E">
        <w:t>-025 de 2004 población desplazada</w:t>
      </w:r>
      <w:r w:rsidR="00475E7E">
        <w:t>.</w:t>
      </w:r>
      <w:r w:rsidR="00475E7E" w:rsidRPr="00475E7E">
        <w:t xml:space="preserve"> </w:t>
      </w:r>
      <w:hyperlink r:id="rId9" w:history="1">
        <w:r w:rsidR="00475E7E" w:rsidRPr="00863A72">
          <w:rPr>
            <w:rStyle w:val="Hipervnculo"/>
          </w:rPr>
          <w:t>https://www.mininterior.gov.co/wp-content/uploads/2023/11/12.-ejecucion-presupuestal-cierre-31-de-diciembre-de-2023.xlsx</w:t>
        </w:r>
      </w:hyperlink>
      <w:r w:rsidR="00475E7E">
        <w:t xml:space="preserve"> </w:t>
      </w:r>
    </w:p>
  </w:footnote>
  <w:footnote w:id="12">
    <w:p w14:paraId="4665FDC4" w14:textId="533DBEA8" w:rsidR="0084305F" w:rsidRDefault="0084305F" w:rsidP="009B4745">
      <w:pPr>
        <w:pStyle w:val="Textonotapie"/>
        <w:jc w:val="both"/>
      </w:pPr>
      <w:r>
        <w:rPr>
          <w:rStyle w:val="Refdenotaalpie"/>
        </w:rPr>
        <w:footnoteRef/>
      </w:r>
      <w:r>
        <w:t xml:space="preserve"> </w:t>
      </w:r>
      <w:r w:rsidRPr="0084305F">
        <w:rPr>
          <w:i/>
          <w:iCs/>
        </w:rPr>
        <w:t>Se consultó</w:t>
      </w:r>
      <w:r>
        <w:rPr>
          <w:i/>
          <w:iCs/>
        </w:rPr>
        <w:t xml:space="preserve"> la página web </w:t>
      </w:r>
      <w:hyperlink r:id="rId10" w:history="1">
        <w:r w:rsidRPr="00863A72">
          <w:rPr>
            <w:rStyle w:val="Hipervnculo"/>
            <w:i/>
            <w:iCs/>
          </w:rPr>
          <w:t>https://www.mininterior.gov.co/normatividad/</w:t>
        </w:r>
      </w:hyperlink>
      <w:r>
        <w:rPr>
          <w:i/>
          <w:iCs/>
        </w:rPr>
        <w:t xml:space="preserve"> </w:t>
      </w:r>
      <w:r w:rsidR="00920AE0">
        <w:rPr>
          <w:i/>
          <w:iCs/>
        </w:rPr>
        <w:t xml:space="preserve">implementando los filtros por número de resolución, luego para el año 2023, </w:t>
      </w:r>
      <w:r w:rsidR="00A4219A">
        <w:rPr>
          <w:i/>
          <w:iCs/>
        </w:rPr>
        <w:t>con la palabra clave “grupo”</w:t>
      </w:r>
      <w:r w:rsidR="002E21CF">
        <w:rPr>
          <w:i/>
          <w:iCs/>
        </w:rPr>
        <w:t xml:space="preserve"> y luego manualmente; si</w:t>
      </w:r>
      <w:r w:rsidR="00A4219A">
        <w:rPr>
          <w:i/>
          <w:iCs/>
        </w:rPr>
        <w:t xml:space="preserve"> bien se e</w:t>
      </w:r>
      <w:r w:rsidR="002E21CF">
        <w:rPr>
          <w:i/>
          <w:iCs/>
        </w:rPr>
        <w:t>ncontraron</w:t>
      </w:r>
      <w:r w:rsidR="00A4219A">
        <w:rPr>
          <w:i/>
          <w:iCs/>
        </w:rPr>
        <w:t xml:space="preserve"> resoluciones como el recientemente creado </w:t>
      </w:r>
      <w:r w:rsidR="002E6EA3">
        <w:rPr>
          <w:i/>
          <w:iCs/>
        </w:rPr>
        <w:t>“</w:t>
      </w:r>
      <w:r w:rsidR="002E6EA3" w:rsidRPr="002E6EA3">
        <w:rPr>
          <w:i/>
          <w:iCs/>
        </w:rPr>
        <w:t xml:space="preserve">Grupo Interno de Trabajo de Enfoque de </w:t>
      </w:r>
      <w:r w:rsidR="002E21CF" w:rsidRPr="002E6EA3">
        <w:rPr>
          <w:i/>
          <w:iCs/>
        </w:rPr>
        <w:t>Género</w:t>
      </w:r>
      <w:r w:rsidR="002E6EA3" w:rsidRPr="002E6EA3">
        <w:rPr>
          <w:i/>
          <w:iCs/>
        </w:rPr>
        <w:t xml:space="preserve"> y Diversidad</w:t>
      </w:r>
      <w:r w:rsidR="002E6EA3">
        <w:rPr>
          <w:i/>
          <w:iCs/>
        </w:rPr>
        <w:t xml:space="preserve">”, no está disponible la </w:t>
      </w:r>
      <w:r w:rsidR="002E21CF">
        <w:rPr>
          <w:i/>
          <w:iCs/>
        </w:rPr>
        <w:t xml:space="preserve">resolución </w:t>
      </w:r>
      <w:r w:rsidR="002E6EA3">
        <w:rPr>
          <w:i/>
          <w:iCs/>
        </w:rPr>
        <w:t>del GIT equipo paz.</w:t>
      </w:r>
      <w:r w:rsidR="005560B1">
        <w:rPr>
          <w:i/>
          <w:iCs/>
        </w:rPr>
        <w:t xml:space="preserve"> Consulta</w:t>
      </w:r>
      <w:r w:rsidR="002E21CF">
        <w:rPr>
          <w:i/>
          <w:iCs/>
        </w:rPr>
        <w:t>do</w:t>
      </w:r>
      <w:r w:rsidR="005560B1">
        <w:rPr>
          <w:i/>
          <w:iCs/>
        </w:rPr>
        <w:t>: 25/06/2024</w:t>
      </w:r>
    </w:p>
  </w:footnote>
  <w:footnote w:id="13">
    <w:p w14:paraId="5E245188" w14:textId="77777777" w:rsidR="004B777E" w:rsidRDefault="004B777E" w:rsidP="009B4745">
      <w:pPr>
        <w:pStyle w:val="Textonotapie"/>
        <w:jc w:val="both"/>
      </w:pPr>
      <w:r>
        <w:rPr>
          <w:rStyle w:val="Refdenotaalpie"/>
        </w:rPr>
        <w:footnoteRef/>
      </w:r>
      <w:r>
        <w:t xml:space="preserve"> Ministerio del Interior. 2024. Ejecución Presupuestal Vigencia Diciembre 2023. </w:t>
      </w:r>
      <w:r w:rsidRPr="00475E7E">
        <w:t xml:space="preserve">Seguimiento al cumplimiento de la </w:t>
      </w:r>
      <w:r>
        <w:t>S</w:t>
      </w:r>
      <w:r w:rsidRPr="00475E7E">
        <w:t xml:space="preserve">entencia </w:t>
      </w:r>
      <w:r>
        <w:t>T</w:t>
      </w:r>
      <w:r w:rsidRPr="00475E7E">
        <w:t>-025 de 2004 población desplazada</w:t>
      </w:r>
      <w:r>
        <w:t>.</w:t>
      </w:r>
      <w:r w:rsidRPr="00475E7E">
        <w:t xml:space="preserve"> </w:t>
      </w:r>
      <w:hyperlink r:id="rId11" w:history="1">
        <w:r w:rsidRPr="00863A72">
          <w:rPr>
            <w:rStyle w:val="Hipervnculo"/>
          </w:rPr>
          <w:t>https://www.mininterior.gov.co/wp-content/uploads/2023/11/12.-ejecucion-presupuestal-cierre-31-de-diciembre-de-2023.xlsx</w:t>
        </w:r>
      </w:hyperlink>
      <w:r>
        <w:t xml:space="preserve"> </w:t>
      </w:r>
    </w:p>
  </w:footnote>
  <w:footnote w:id="14">
    <w:p w14:paraId="4C1E3D98" w14:textId="77777777" w:rsidR="004B777E" w:rsidRDefault="004B777E" w:rsidP="009B4745">
      <w:pPr>
        <w:pStyle w:val="Textonotapie"/>
        <w:jc w:val="both"/>
      </w:pPr>
      <w:r>
        <w:rPr>
          <w:rStyle w:val="Refdenotaalpie"/>
        </w:rPr>
        <w:footnoteRef/>
      </w:r>
      <w:r>
        <w:t xml:space="preserve"> Ministerio del Interior. 2024. Ejecución Presupuestal Vigencia Diciembre 2023. </w:t>
      </w:r>
      <w:r w:rsidRPr="00475E7E">
        <w:t xml:space="preserve">Seguimiento al cumplimiento de la </w:t>
      </w:r>
      <w:r>
        <w:t>S</w:t>
      </w:r>
      <w:r w:rsidRPr="00475E7E">
        <w:t xml:space="preserve">entencia </w:t>
      </w:r>
      <w:r>
        <w:t>T</w:t>
      </w:r>
      <w:r w:rsidRPr="00475E7E">
        <w:t>-025 de 2004 población desplazada</w:t>
      </w:r>
      <w:r>
        <w:t>.</w:t>
      </w:r>
      <w:r w:rsidRPr="00475E7E">
        <w:t xml:space="preserve"> </w:t>
      </w:r>
      <w:hyperlink r:id="rId12" w:history="1">
        <w:r w:rsidRPr="00863A72">
          <w:rPr>
            <w:rStyle w:val="Hipervnculo"/>
          </w:rPr>
          <w:t>https://www.mininterior.gov.co/wp-content/uploads/2023/11/12.-ejecucion-presupuestal-cierre-31-de-diciembre-de-2023.xlsx</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6FECF" w14:textId="77777777" w:rsidR="003919D8" w:rsidRDefault="003919D8">
    <w:pPr>
      <w:widowControl w:val="0"/>
      <w:pBdr>
        <w:top w:val="nil"/>
        <w:left w:val="nil"/>
        <w:bottom w:val="nil"/>
        <w:right w:val="nil"/>
        <w:between w:val="nil"/>
      </w:pBdr>
      <w:spacing w:after="0" w:line="276" w:lineRule="auto"/>
      <w:jc w:val="center"/>
      <w:rPr>
        <w:color w:val="000000"/>
      </w:rPr>
    </w:pPr>
    <w:r>
      <w:rPr>
        <w:noProof/>
        <w:lang w:eastAsia="es-CO"/>
      </w:rPr>
      <w:drawing>
        <wp:anchor distT="0" distB="0" distL="114300" distR="114300" simplePos="0" relativeHeight="251658240" behindDoc="1" locked="0" layoutInCell="1" allowOverlap="1" wp14:anchorId="66D477E1" wp14:editId="13C605EA">
          <wp:simplePos x="0" y="0"/>
          <wp:positionH relativeFrom="column">
            <wp:posOffset>1726565</wp:posOffset>
          </wp:positionH>
          <wp:positionV relativeFrom="paragraph">
            <wp:posOffset>-221615</wp:posOffset>
          </wp:positionV>
          <wp:extent cx="2558905" cy="755650"/>
          <wp:effectExtent l="0" t="0" r="0" b="6350"/>
          <wp:wrapNone/>
          <wp:docPr id="17" name="image1.png" descr="Home"/>
          <wp:cNvGraphicFramePr/>
          <a:graphic xmlns:a="http://schemas.openxmlformats.org/drawingml/2006/main">
            <a:graphicData uri="http://schemas.openxmlformats.org/drawingml/2006/picture">
              <pic:pic xmlns:pic="http://schemas.openxmlformats.org/drawingml/2006/picture">
                <pic:nvPicPr>
                  <pic:cNvPr id="0" name="image1.png" descr="Home"/>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558905" cy="75565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3294B" w14:textId="77777777" w:rsidR="003919D8" w:rsidRDefault="003919D8">
    <w:pPr>
      <w:pBdr>
        <w:top w:val="nil"/>
        <w:left w:val="nil"/>
        <w:bottom w:val="nil"/>
        <w:right w:val="nil"/>
        <w:between w:val="nil"/>
      </w:pBdr>
      <w:tabs>
        <w:tab w:val="center" w:pos="4419"/>
        <w:tab w:val="right" w:pos="8838"/>
      </w:tabs>
      <w:spacing w:after="0" w:line="240" w:lineRule="auto"/>
      <w:jc w:val="center"/>
      <w:rPr>
        <w:color w:val="000000"/>
      </w:rPr>
    </w:pPr>
    <w:r>
      <w:rPr>
        <w:noProof/>
        <w:color w:val="000000"/>
        <w:lang w:eastAsia="es-CO"/>
      </w:rPr>
      <w:drawing>
        <wp:inline distT="0" distB="0" distL="0" distR="0" wp14:anchorId="319E7A0F" wp14:editId="27BD5E1A">
          <wp:extent cx="2813327" cy="833448"/>
          <wp:effectExtent l="0" t="0" r="0" b="0"/>
          <wp:docPr id="16" name="image2.png" descr="C:\Users\admin\Desktop\logo congreso.png"/>
          <wp:cNvGraphicFramePr/>
          <a:graphic xmlns:a="http://schemas.openxmlformats.org/drawingml/2006/main">
            <a:graphicData uri="http://schemas.openxmlformats.org/drawingml/2006/picture">
              <pic:pic xmlns:pic="http://schemas.openxmlformats.org/drawingml/2006/picture">
                <pic:nvPicPr>
                  <pic:cNvPr id="0" name="image2.png" descr="C:\Users\admin\Desktop\logo congreso.png"/>
                  <pic:cNvPicPr preferRelativeResize="0"/>
                </pic:nvPicPr>
                <pic:blipFill>
                  <a:blip r:embed="rId1"/>
                  <a:srcRect/>
                  <a:stretch>
                    <a:fillRect/>
                  </a:stretch>
                </pic:blipFill>
                <pic:spPr>
                  <a:xfrm>
                    <a:off x="0" y="0"/>
                    <a:ext cx="2813327" cy="833448"/>
                  </a:xfrm>
                  <a:prstGeom prst="rect">
                    <a:avLst/>
                  </a:prstGeom>
                  <a:ln/>
                </pic:spPr>
              </pic:pic>
            </a:graphicData>
          </a:graphic>
        </wp:inline>
      </w:drawing>
    </w:r>
  </w:p>
  <w:p w14:paraId="2AE4078D" w14:textId="77777777" w:rsidR="003919D8" w:rsidRDefault="003919D8">
    <w:pPr>
      <w:pBdr>
        <w:top w:val="nil"/>
        <w:left w:val="nil"/>
        <w:bottom w:val="nil"/>
        <w:right w:val="nil"/>
        <w:between w:val="nil"/>
      </w:pBdr>
      <w:tabs>
        <w:tab w:val="center" w:pos="4419"/>
        <w:tab w:val="right" w:pos="8838"/>
      </w:tabs>
      <w:spacing w:after="0" w:line="240" w:lineRule="auto"/>
      <w:jc w:val="center"/>
      <w:rPr>
        <w:color w:val="000000"/>
      </w:rPr>
    </w:pPr>
  </w:p>
</w:hdr>
</file>

<file path=word/intelligence2.xml><?xml version="1.0" encoding="utf-8"?>
<int2:intelligence xmlns:int2="http://schemas.microsoft.com/office/intelligence/2020/intelligence">
  <int2:observations>
    <int2:textHash int2:hashCode="jYUVM5cRxHRs5M" int2:id="iuN68xmF">
      <int2:state int2:type="AugLoop_Text_Critique" int2:value="Rejected"/>
    </int2:textHash>
    <int2:textHash int2:hashCode="6ZlxAaUk3NkdgM" int2:id="431izDR9">
      <int2:state int2:type="AugLoop_Text_Critique" int2:value="Rejected"/>
    </int2:textHash>
    <int2:textHash int2:hashCode="GahAFDd5YjpbVh" int2:id="8ZkGyURS">
      <int2:state int2:type="AugLoop_Text_Critique" int2:value="Rejected"/>
    </int2:textHash>
    <int2:bookmark int2:bookmarkName="_Int_tD7BLO3E" int2:invalidationBookmarkName="" int2:hashCode="JcddmdKQyxkv3/" int2:id="Hq8MVB2j">
      <int2:state int2:type="AugLoop_Text_Critique" int2:value="Rejected"/>
    </int2:bookmark>
    <int2:bookmark int2:bookmarkName="_Int_DGf1WHXT" int2:invalidationBookmarkName="" int2:hashCode="JcddmdKQyxkv3/" int2:id="0oYRlYhe">
      <int2:state int2:type="AugLoop_Text_Critique" int2:value="Rejected"/>
    </int2:bookmark>
    <int2:bookmark int2:bookmarkName="_Int_TitLU4r0" int2:invalidationBookmarkName="" int2:hashCode="JcddmdKQyxkv3/" int2:id="Na9AFCH7">
      <int2:state int2:type="AugLoop_Text_Critique" int2:value="Rejected"/>
    </int2:bookmark>
    <int2:bookmark int2:bookmarkName="_Int_903CsRmN" int2:invalidationBookmarkName="" int2:hashCode="JcddmdKQyxkv3/" int2:id="ZRHfdYyT">
      <int2:state int2:type="AugLoop_Text_Critique" int2:value="Rejected"/>
    </int2:bookmark>
    <int2:bookmark int2:bookmarkName="_Int_KyMabu3b" int2:invalidationBookmarkName="" int2:hashCode="0PvxBubY8pMJby" int2:id="BHzRofjF">
      <int2:state int2:type="AugLoop_Text_Critique" int2:value="Rejected"/>
    </int2:bookmark>
    <int2:bookmark int2:bookmarkName="_Int_rvZG1JMv" int2:invalidationBookmarkName="" int2:hashCode="JcddmdKQyxkv3/" int2:id="BBv354id">
      <int2:state int2:type="AugLoop_Text_Critique" int2:value="Rejected"/>
    </int2:bookmark>
    <int2:bookmark int2:bookmarkName="_Int_Pgk1LwEp" int2:invalidationBookmarkName="" int2:hashCode="JcddmdKQyxkv3/" int2:id="HPoSUuat">
      <int2:state int2:type="AugLoop_Text_Critique" int2:value="Rejected"/>
    </int2:bookmark>
    <int2:bookmark int2:bookmarkName="_Int_TuPRAiBP" int2:invalidationBookmarkName="" int2:hashCode="JcddmdKQyxkv3/" int2:id="XUZQkG1e">
      <int2:state int2:type="AugLoop_Text_Critique" int2:value="Rejected"/>
    </int2:bookmark>
    <int2:bookmark int2:bookmarkName="_Int_RwWosCtM" int2:invalidationBookmarkName="" int2:hashCode="lOG2903mwgfJae" int2:id="aerwVnH4">
      <int2:state int2:type="AugLoop_Text_Critique" int2:value="Rejected"/>
    </int2:bookmark>
    <int2:bookmark int2:bookmarkName="_Int_BHu6dJ6N" int2:invalidationBookmarkName="" int2:hashCode="JcddmdKQyxkv3/" int2:id="husp0spB">
      <int2:state int2:type="AugLoop_Text_Critique" int2:value="Rejected"/>
    </int2:bookmark>
    <int2:bookmark int2:bookmarkName="_Int_4N3mGjpO" int2:invalidationBookmarkName="" int2:hashCode="U+Vp7grNYhxRCX" int2:id="9FIrlzAN">
      <int2:state int2:type="AugLoop_Text_Critique" int2:value="Rejected"/>
    </int2:bookmark>
    <int2:bookmark int2:bookmarkName="_Int_Psu50YW5" int2:invalidationBookmarkName="" int2:hashCode="N3Jf+Xko1MPpC/" int2:id="OnHXQjXF">
      <int2:state int2:type="AugLoop_Text_Critique" int2:value="Rejected"/>
    </int2:bookmark>
    <int2:bookmark int2:bookmarkName="_Int_beNhVDfW" int2:invalidationBookmarkName="" int2:hashCode="tusU4HCJkZ26Te" int2:id="13XrMJVW">
      <int2:state int2:type="AugLoop_Text_Critique" int2:value="Rejected"/>
    </int2:bookmark>
    <int2:bookmark int2:bookmarkName="_Int_a2pH0bS8" int2:invalidationBookmarkName="" int2:hashCode="JcddmdKQyxkv3/" int2:id="neWGfy15">
      <int2:state int2:type="AugLoop_Text_Critique" int2:value="Rejected"/>
    </int2:bookmark>
    <int2:bookmark int2:bookmarkName="_Int_YIDPnROM" int2:invalidationBookmarkName="" int2:hashCode="zqkxZWgDeI0sEt" int2:id="eU9W9cOb">
      <int2:state int2:type="AugLoop_Text_Critique" int2:value="Rejected"/>
    </int2:bookmark>
    <int2:bookmark int2:bookmarkName="_Int_sd4WKxCE" int2:invalidationBookmarkName="" int2:hashCode="q0mcxkYFtNRFqx" int2:id="tqBAmPGk">
      <int2:state int2:type="AugLoop_Text_Critique" int2:value="Rejected"/>
    </int2:bookmark>
    <int2:bookmark int2:bookmarkName="_Int_kG7aqtC2" int2:invalidationBookmarkName="" int2:hashCode="nzYn8fCcJYOEzH" int2:id="9IQpEa5V">
      <int2:state int2:type="AugLoop_Text_Critique" int2:value="Rejected"/>
    </int2:bookmark>
    <int2:bookmark int2:bookmarkName="_Int_fA6OtLxZ" int2:invalidationBookmarkName="" int2:hashCode="UW5hxt5xDaC1DG" int2:id="BnTGm4m0">
      <int2:state int2:type="AugLoop_Text_Critique" int2:value="Rejected"/>
    </int2:bookmark>
    <int2:bookmark int2:bookmarkName="_Int_f0QqdGJk" int2:invalidationBookmarkName="" int2:hashCode="JcddmdKQyxkv3/" int2:id="sUFrWpNg">
      <int2:state int2:type="AugLoop_Text_Critique" int2:value="Rejected"/>
    </int2:bookmark>
    <int2:bookmark int2:bookmarkName="_Int_md3o2ACR" int2:invalidationBookmarkName="" int2:hashCode="JcddmdKQyxkv3/" int2:id="YN7XD9ca">
      <int2:state int2:type="AugLoop_Text_Critique" int2:value="Rejected"/>
    </int2:bookmark>
    <int2:bookmark int2:bookmarkName="_Int_z3x6LXvz" int2:invalidationBookmarkName="" int2:hashCode="JcddmdKQyxkv3/" int2:id="mWY4RBQb">
      <int2:state int2:type="AugLoop_Text_Critique" int2:value="Rejected"/>
    </int2:bookmark>
    <int2:bookmark int2:bookmarkName="_Int_ZggSpazL" int2:invalidationBookmarkName="" int2:hashCode="JcddmdKQyxkv3/" int2:id="itUWpahp">
      <int2:state int2:type="AugLoop_Text_Critique" int2:value="Rejected"/>
    </int2:bookmark>
    <int2:bookmark int2:bookmarkName="_Int_8AxtcIdG" int2:invalidationBookmarkName="" int2:hashCode="JcddmdKQyxkv3/" int2:id="HD3qOFqp">
      <int2:state int2:type="AugLoop_Text_Critique" int2:value="Rejected"/>
    </int2:bookmark>
    <int2:bookmark int2:bookmarkName="_Int_rELN5TWA" int2:invalidationBookmarkName="" int2:hashCode="JcddmdKQyxkv3/" int2:id="c6kr2Te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7010"/>
    <w:multiLevelType w:val="multilevel"/>
    <w:tmpl w:val="DA6C02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DF6496"/>
    <w:multiLevelType w:val="multilevel"/>
    <w:tmpl w:val="546C07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4E8DB0"/>
    <w:multiLevelType w:val="hybridMultilevel"/>
    <w:tmpl w:val="F168EC44"/>
    <w:lvl w:ilvl="0" w:tplc="76A876D2">
      <w:start w:val="1"/>
      <w:numFmt w:val="bullet"/>
      <w:lvlText w:val="-"/>
      <w:lvlJc w:val="left"/>
      <w:pPr>
        <w:ind w:left="720" w:hanging="360"/>
      </w:pPr>
      <w:rPr>
        <w:rFonts w:ascii="Aptos" w:hAnsi="Aptos" w:hint="default"/>
      </w:rPr>
    </w:lvl>
    <w:lvl w:ilvl="1" w:tplc="EFEE403E">
      <w:start w:val="1"/>
      <w:numFmt w:val="bullet"/>
      <w:lvlText w:val="o"/>
      <w:lvlJc w:val="left"/>
      <w:pPr>
        <w:ind w:left="1440" w:hanging="360"/>
      </w:pPr>
      <w:rPr>
        <w:rFonts w:ascii="Courier New" w:hAnsi="Courier New" w:hint="default"/>
      </w:rPr>
    </w:lvl>
    <w:lvl w:ilvl="2" w:tplc="F3C6AC94">
      <w:start w:val="1"/>
      <w:numFmt w:val="bullet"/>
      <w:lvlText w:val=""/>
      <w:lvlJc w:val="left"/>
      <w:pPr>
        <w:ind w:left="2160" w:hanging="360"/>
      </w:pPr>
      <w:rPr>
        <w:rFonts w:ascii="Wingdings" w:hAnsi="Wingdings" w:hint="default"/>
      </w:rPr>
    </w:lvl>
    <w:lvl w:ilvl="3" w:tplc="448AB7FE">
      <w:start w:val="1"/>
      <w:numFmt w:val="bullet"/>
      <w:lvlText w:val=""/>
      <w:lvlJc w:val="left"/>
      <w:pPr>
        <w:ind w:left="2880" w:hanging="360"/>
      </w:pPr>
      <w:rPr>
        <w:rFonts w:ascii="Symbol" w:hAnsi="Symbol" w:hint="default"/>
      </w:rPr>
    </w:lvl>
    <w:lvl w:ilvl="4" w:tplc="1F2E80D8">
      <w:start w:val="1"/>
      <w:numFmt w:val="bullet"/>
      <w:lvlText w:val="o"/>
      <w:lvlJc w:val="left"/>
      <w:pPr>
        <w:ind w:left="3600" w:hanging="360"/>
      </w:pPr>
      <w:rPr>
        <w:rFonts w:ascii="Courier New" w:hAnsi="Courier New" w:hint="default"/>
      </w:rPr>
    </w:lvl>
    <w:lvl w:ilvl="5" w:tplc="650ACB94">
      <w:start w:val="1"/>
      <w:numFmt w:val="bullet"/>
      <w:lvlText w:val=""/>
      <w:lvlJc w:val="left"/>
      <w:pPr>
        <w:ind w:left="4320" w:hanging="360"/>
      </w:pPr>
      <w:rPr>
        <w:rFonts w:ascii="Wingdings" w:hAnsi="Wingdings" w:hint="default"/>
      </w:rPr>
    </w:lvl>
    <w:lvl w:ilvl="6" w:tplc="9D08D8F6">
      <w:start w:val="1"/>
      <w:numFmt w:val="bullet"/>
      <w:lvlText w:val=""/>
      <w:lvlJc w:val="left"/>
      <w:pPr>
        <w:ind w:left="5040" w:hanging="360"/>
      </w:pPr>
      <w:rPr>
        <w:rFonts w:ascii="Symbol" w:hAnsi="Symbol" w:hint="default"/>
      </w:rPr>
    </w:lvl>
    <w:lvl w:ilvl="7" w:tplc="0AAA9B84">
      <w:start w:val="1"/>
      <w:numFmt w:val="bullet"/>
      <w:lvlText w:val="o"/>
      <w:lvlJc w:val="left"/>
      <w:pPr>
        <w:ind w:left="5760" w:hanging="360"/>
      </w:pPr>
      <w:rPr>
        <w:rFonts w:ascii="Courier New" w:hAnsi="Courier New" w:hint="default"/>
      </w:rPr>
    </w:lvl>
    <w:lvl w:ilvl="8" w:tplc="C226C53E">
      <w:start w:val="1"/>
      <w:numFmt w:val="bullet"/>
      <w:lvlText w:val=""/>
      <w:lvlJc w:val="left"/>
      <w:pPr>
        <w:ind w:left="6480" w:hanging="360"/>
      </w:pPr>
      <w:rPr>
        <w:rFonts w:ascii="Wingdings" w:hAnsi="Wingdings" w:hint="default"/>
      </w:rPr>
    </w:lvl>
  </w:abstractNum>
  <w:abstractNum w:abstractNumId="3" w15:restartNumberingAfterBreak="0">
    <w:nsid w:val="07BD01E8"/>
    <w:multiLevelType w:val="multilevel"/>
    <w:tmpl w:val="8A7AD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B53804"/>
    <w:multiLevelType w:val="hybridMultilevel"/>
    <w:tmpl w:val="FA8EB62A"/>
    <w:lvl w:ilvl="0" w:tplc="EEE2DADE">
      <w:start w:val="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E50492"/>
    <w:multiLevelType w:val="multilevel"/>
    <w:tmpl w:val="F7E6BF38"/>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7CB977A"/>
    <w:multiLevelType w:val="hybridMultilevel"/>
    <w:tmpl w:val="4DE00B6E"/>
    <w:lvl w:ilvl="0" w:tplc="D1BA5D1C">
      <w:start w:val="1"/>
      <w:numFmt w:val="bullet"/>
      <w:lvlText w:val="-"/>
      <w:lvlJc w:val="left"/>
      <w:pPr>
        <w:ind w:left="720" w:hanging="360"/>
      </w:pPr>
      <w:rPr>
        <w:rFonts w:ascii="Aptos" w:hAnsi="Aptos" w:hint="default"/>
      </w:rPr>
    </w:lvl>
    <w:lvl w:ilvl="1" w:tplc="964C885C">
      <w:start w:val="1"/>
      <w:numFmt w:val="bullet"/>
      <w:lvlText w:val="o"/>
      <w:lvlJc w:val="left"/>
      <w:pPr>
        <w:ind w:left="1440" w:hanging="360"/>
      </w:pPr>
      <w:rPr>
        <w:rFonts w:ascii="Courier New" w:hAnsi="Courier New" w:hint="default"/>
      </w:rPr>
    </w:lvl>
    <w:lvl w:ilvl="2" w:tplc="BC8AA8F8">
      <w:start w:val="1"/>
      <w:numFmt w:val="bullet"/>
      <w:lvlText w:val=""/>
      <w:lvlJc w:val="left"/>
      <w:pPr>
        <w:ind w:left="2160" w:hanging="360"/>
      </w:pPr>
      <w:rPr>
        <w:rFonts w:ascii="Wingdings" w:hAnsi="Wingdings" w:hint="default"/>
      </w:rPr>
    </w:lvl>
    <w:lvl w:ilvl="3" w:tplc="C76065A0">
      <w:start w:val="1"/>
      <w:numFmt w:val="bullet"/>
      <w:lvlText w:val=""/>
      <w:lvlJc w:val="left"/>
      <w:pPr>
        <w:ind w:left="2880" w:hanging="360"/>
      </w:pPr>
      <w:rPr>
        <w:rFonts w:ascii="Symbol" w:hAnsi="Symbol" w:hint="default"/>
      </w:rPr>
    </w:lvl>
    <w:lvl w:ilvl="4" w:tplc="42AE9232">
      <w:start w:val="1"/>
      <w:numFmt w:val="bullet"/>
      <w:lvlText w:val="o"/>
      <w:lvlJc w:val="left"/>
      <w:pPr>
        <w:ind w:left="3600" w:hanging="360"/>
      </w:pPr>
      <w:rPr>
        <w:rFonts w:ascii="Courier New" w:hAnsi="Courier New" w:hint="default"/>
      </w:rPr>
    </w:lvl>
    <w:lvl w:ilvl="5" w:tplc="0322AD7A">
      <w:start w:val="1"/>
      <w:numFmt w:val="bullet"/>
      <w:lvlText w:val=""/>
      <w:lvlJc w:val="left"/>
      <w:pPr>
        <w:ind w:left="4320" w:hanging="360"/>
      </w:pPr>
      <w:rPr>
        <w:rFonts w:ascii="Wingdings" w:hAnsi="Wingdings" w:hint="default"/>
      </w:rPr>
    </w:lvl>
    <w:lvl w:ilvl="6" w:tplc="B4EC6F68">
      <w:start w:val="1"/>
      <w:numFmt w:val="bullet"/>
      <w:lvlText w:val=""/>
      <w:lvlJc w:val="left"/>
      <w:pPr>
        <w:ind w:left="5040" w:hanging="360"/>
      </w:pPr>
      <w:rPr>
        <w:rFonts w:ascii="Symbol" w:hAnsi="Symbol" w:hint="default"/>
      </w:rPr>
    </w:lvl>
    <w:lvl w:ilvl="7" w:tplc="62749A88">
      <w:start w:val="1"/>
      <w:numFmt w:val="bullet"/>
      <w:lvlText w:val="o"/>
      <w:lvlJc w:val="left"/>
      <w:pPr>
        <w:ind w:left="5760" w:hanging="360"/>
      </w:pPr>
      <w:rPr>
        <w:rFonts w:ascii="Courier New" w:hAnsi="Courier New" w:hint="default"/>
      </w:rPr>
    </w:lvl>
    <w:lvl w:ilvl="8" w:tplc="CD443830">
      <w:start w:val="1"/>
      <w:numFmt w:val="bullet"/>
      <w:lvlText w:val=""/>
      <w:lvlJc w:val="left"/>
      <w:pPr>
        <w:ind w:left="6480" w:hanging="360"/>
      </w:pPr>
      <w:rPr>
        <w:rFonts w:ascii="Wingdings" w:hAnsi="Wingdings" w:hint="default"/>
      </w:rPr>
    </w:lvl>
  </w:abstractNum>
  <w:abstractNum w:abstractNumId="7" w15:restartNumberingAfterBreak="0">
    <w:nsid w:val="1D770B6C"/>
    <w:multiLevelType w:val="multilevel"/>
    <w:tmpl w:val="E348FF6A"/>
    <w:lvl w:ilvl="0">
      <w:start w:val="1"/>
      <w:numFmt w:val="lowerLetter"/>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BD5CE4"/>
    <w:multiLevelType w:val="multilevel"/>
    <w:tmpl w:val="CA1AD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2BE134F"/>
    <w:multiLevelType w:val="multilevel"/>
    <w:tmpl w:val="F710D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2BDFDE"/>
    <w:multiLevelType w:val="hybridMultilevel"/>
    <w:tmpl w:val="BA1A09D4"/>
    <w:lvl w:ilvl="0" w:tplc="87B6CDD6">
      <w:start w:val="1"/>
      <w:numFmt w:val="bullet"/>
      <w:lvlText w:val="-"/>
      <w:lvlJc w:val="left"/>
      <w:pPr>
        <w:ind w:left="720" w:hanging="360"/>
      </w:pPr>
      <w:rPr>
        <w:rFonts w:ascii="Aptos" w:hAnsi="Aptos" w:hint="default"/>
      </w:rPr>
    </w:lvl>
    <w:lvl w:ilvl="1" w:tplc="34285B8A">
      <w:start w:val="1"/>
      <w:numFmt w:val="bullet"/>
      <w:lvlText w:val="o"/>
      <w:lvlJc w:val="left"/>
      <w:pPr>
        <w:ind w:left="1440" w:hanging="360"/>
      </w:pPr>
      <w:rPr>
        <w:rFonts w:ascii="Courier New" w:hAnsi="Courier New" w:hint="default"/>
      </w:rPr>
    </w:lvl>
    <w:lvl w:ilvl="2" w:tplc="2664467A">
      <w:start w:val="1"/>
      <w:numFmt w:val="bullet"/>
      <w:lvlText w:val=""/>
      <w:lvlJc w:val="left"/>
      <w:pPr>
        <w:ind w:left="2160" w:hanging="360"/>
      </w:pPr>
      <w:rPr>
        <w:rFonts w:ascii="Wingdings" w:hAnsi="Wingdings" w:hint="default"/>
      </w:rPr>
    </w:lvl>
    <w:lvl w:ilvl="3" w:tplc="49FE0D44">
      <w:start w:val="1"/>
      <w:numFmt w:val="bullet"/>
      <w:lvlText w:val=""/>
      <w:lvlJc w:val="left"/>
      <w:pPr>
        <w:ind w:left="2880" w:hanging="360"/>
      </w:pPr>
      <w:rPr>
        <w:rFonts w:ascii="Symbol" w:hAnsi="Symbol" w:hint="default"/>
      </w:rPr>
    </w:lvl>
    <w:lvl w:ilvl="4" w:tplc="507E68EE">
      <w:start w:val="1"/>
      <w:numFmt w:val="bullet"/>
      <w:lvlText w:val="o"/>
      <w:lvlJc w:val="left"/>
      <w:pPr>
        <w:ind w:left="3600" w:hanging="360"/>
      </w:pPr>
      <w:rPr>
        <w:rFonts w:ascii="Courier New" w:hAnsi="Courier New" w:hint="default"/>
      </w:rPr>
    </w:lvl>
    <w:lvl w:ilvl="5" w:tplc="0832AD68">
      <w:start w:val="1"/>
      <w:numFmt w:val="bullet"/>
      <w:lvlText w:val=""/>
      <w:lvlJc w:val="left"/>
      <w:pPr>
        <w:ind w:left="4320" w:hanging="360"/>
      </w:pPr>
      <w:rPr>
        <w:rFonts w:ascii="Wingdings" w:hAnsi="Wingdings" w:hint="default"/>
      </w:rPr>
    </w:lvl>
    <w:lvl w:ilvl="6" w:tplc="1D361F64">
      <w:start w:val="1"/>
      <w:numFmt w:val="bullet"/>
      <w:lvlText w:val=""/>
      <w:lvlJc w:val="left"/>
      <w:pPr>
        <w:ind w:left="5040" w:hanging="360"/>
      </w:pPr>
      <w:rPr>
        <w:rFonts w:ascii="Symbol" w:hAnsi="Symbol" w:hint="default"/>
      </w:rPr>
    </w:lvl>
    <w:lvl w:ilvl="7" w:tplc="84A2A5AE">
      <w:start w:val="1"/>
      <w:numFmt w:val="bullet"/>
      <w:lvlText w:val="o"/>
      <w:lvlJc w:val="left"/>
      <w:pPr>
        <w:ind w:left="5760" w:hanging="360"/>
      </w:pPr>
      <w:rPr>
        <w:rFonts w:ascii="Courier New" w:hAnsi="Courier New" w:hint="default"/>
      </w:rPr>
    </w:lvl>
    <w:lvl w:ilvl="8" w:tplc="A4EEB58A">
      <w:start w:val="1"/>
      <w:numFmt w:val="bullet"/>
      <w:lvlText w:val=""/>
      <w:lvlJc w:val="left"/>
      <w:pPr>
        <w:ind w:left="6480" w:hanging="360"/>
      </w:pPr>
      <w:rPr>
        <w:rFonts w:ascii="Wingdings" w:hAnsi="Wingdings" w:hint="default"/>
      </w:rPr>
    </w:lvl>
  </w:abstractNum>
  <w:abstractNum w:abstractNumId="11" w15:restartNumberingAfterBreak="0">
    <w:nsid w:val="262676EA"/>
    <w:multiLevelType w:val="hybridMultilevel"/>
    <w:tmpl w:val="2A38FA24"/>
    <w:lvl w:ilvl="0" w:tplc="C5BC5256">
      <w:start w:val="1"/>
      <w:numFmt w:val="bullet"/>
      <w:lvlText w:val="-"/>
      <w:lvlJc w:val="left"/>
      <w:pPr>
        <w:ind w:left="720" w:hanging="360"/>
      </w:pPr>
      <w:rPr>
        <w:rFonts w:ascii="Aptos" w:hAnsi="Aptos" w:hint="default"/>
      </w:rPr>
    </w:lvl>
    <w:lvl w:ilvl="1" w:tplc="0F1E2E5E">
      <w:start w:val="1"/>
      <w:numFmt w:val="bullet"/>
      <w:lvlText w:val="o"/>
      <w:lvlJc w:val="left"/>
      <w:pPr>
        <w:ind w:left="1440" w:hanging="360"/>
      </w:pPr>
      <w:rPr>
        <w:rFonts w:ascii="Courier New" w:hAnsi="Courier New" w:hint="default"/>
      </w:rPr>
    </w:lvl>
    <w:lvl w:ilvl="2" w:tplc="5616E992">
      <w:start w:val="1"/>
      <w:numFmt w:val="bullet"/>
      <w:lvlText w:val=""/>
      <w:lvlJc w:val="left"/>
      <w:pPr>
        <w:ind w:left="2160" w:hanging="360"/>
      </w:pPr>
      <w:rPr>
        <w:rFonts w:ascii="Wingdings" w:hAnsi="Wingdings" w:hint="default"/>
      </w:rPr>
    </w:lvl>
    <w:lvl w:ilvl="3" w:tplc="144ABCC4">
      <w:start w:val="1"/>
      <w:numFmt w:val="bullet"/>
      <w:lvlText w:val=""/>
      <w:lvlJc w:val="left"/>
      <w:pPr>
        <w:ind w:left="2880" w:hanging="360"/>
      </w:pPr>
      <w:rPr>
        <w:rFonts w:ascii="Symbol" w:hAnsi="Symbol" w:hint="default"/>
      </w:rPr>
    </w:lvl>
    <w:lvl w:ilvl="4" w:tplc="35869E3A">
      <w:start w:val="1"/>
      <w:numFmt w:val="bullet"/>
      <w:lvlText w:val="o"/>
      <w:lvlJc w:val="left"/>
      <w:pPr>
        <w:ind w:left="3600" w:hanging="360"/>
      </w:pPr>
      <w:rPr>
        <w:rFonts w:ascii="Courier New" w:hAnsi="Courier New" w:hint="default"/>
      </w:rPr>
    </w:lvl>
    <w:lvl w:ilvl="5" w:tplc="C766402A">
      <w:start w:val="1"/>
      <w:numFmt w:val="bullet"/>
      <w:lvlText w:val=""/>
      <w:lvlJc w:val="left"/>
      <w:pPr>
        <w:ind w:left="4320" w:hanging="360"/>
      </w:pPr>
      <w:rPr>
        <w:rFonts w:ascii="Wingdings" w:hAnsi="Wingdings" w:hint="default"/>
      </w:rPr>
    </w:lvl>
    <w:lvl w:ilvl="6" w:tplc="188AE85C">
      <w:start w:val="1"/>
      <w:numFmt w:val="bullet"/>
      <w:lvlText w:val=""/>
      <w:lvlJc w:val="left"/>
      <w:pPr>
        <w:ind w:left="5040" w:hanging="360"/>
      </w:pPr>
      <w:rPr>
        <w:rFonts w:ascii="Symbol" w:hAnsi="Symbol" w:hint="default"/>
      </w:rPr>
    </w:lvl>
    <w:lvl w:ilvl="7" w:tplc="C59C6EF8">
      <w:start w:val="1"/>
      <w:numFmt w:val="bullet"/>
      <w:lvlText w:val="o"/>
      <w:lvlJc w:val="left"/>
      <w:pPr>
        <w:ind w:left="5760" w:hanging="360"/>
      </w:pPr>
      <w:rPr>
        <w:rFonts w:ascii="Courier New" w:hAnsi="Courier New" w:hint="default"/>
      </w:rPr>
    </w:lvl>
    <w:lvl w:ilvl="8" w:tplc="A694EFF2">
      <w:start w:val="1"/>
      <w:numFmt w:val="bullet"/>
      <w:lvlText w:val=""/>
      <w:lvlJc w:val="left"/>
      <w:pPr>
        <w:ind w:left="6480" w:hanging="360"/>
      </w:pPr>
      <w:rPr>
        <w:rFonts w:ascii="Wingdings" w:hAnsi="Wingdings" w:hint="default"/>
      </w:rPr>
    </w:lvl>
  </w:abstractNum>
  <w:abstractNum w:abstractNumId="12" w15:restartNumberingAfterBreak="0">
    <w:nsid w:val="2DB235D3"/>
    <w:multiLevelType w:val="multilevel"/>
    <w:tmpl w:val="2402C98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321F7B46"/>
    <w:multiLevelType w:val="multilevel"/>
    <w:tmpl w:val="07CC7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2791A6C"/>
    <w:multiLevelType w:val="multilevel"/>
    <w:tmpl w:val="C7F8F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6A4CF31"/>
    <w:multiLevelType w:val="hybridMultilevel"/>
    <w:tmpl w:val="8438F3FA"/>
    <w:lvl w:ilvl="0" w:tplc="68FE7392">
      <w:start w:val="1"/>
      <w:numFmt w:val="bullet"/>
      <w:lvlText w:val="-"/>
      <w:lvlJc w:val="left"/>
      <w:pPr>
        <w:ind w:left="720" w:hanging="360"/>
      </w:pPr>
      <w:rPr>
        <w:rFonts w:ascii="Aptos" w:hAnsi="Aptos" w:hint="default"/>
      </w:rPr>
    </w:lvl>
    <w:lvl w:ilvl="1" w:tplc="1B46A2C4">
      <w:start w:val="1"/>
      <w:numFmt w:val="bullet"/>
      <w:lvlText w:val="o"/>
      <w:lvlJc w:val="left"/>
      <w:pPr>
        <w:ind w:left="1440" w:hanging="360"/>
      </w:pPr>
      <w:rPr>
        <w:rFonts w:ascii="Courier New" w:hAnsi="Courier New" w:hint="default"/>
      </w:rPr>
    </w:lvl>
    <w:lvl w:ilvl="2" w:tplc="E9FE434E">
      <w:start w:val="1"/>
      <w:numFmt w:val="bullet"/>
      <w:lvlText w:val=""/>
      <w:lvlJc w:val="left"/>
      <w:pPr>
        <w:ind w:left="2160" w:hanging="360"/>
      </w:pPr>
      <w:rPr>
        <w:rFonts w:ascii="Wingdings" w:hAnsi="Wingdings" w:hint="default"/>
      </w:rPr>
    </w:lvl>
    <w:lvl w:ilvl="3" w:tplc="889099A8">
      <w:start w:val="1"/>
      <w:numFmt w:val="bullet"/>
      <w:lvlText w:val=""/>
      <w:lvlJc w:val="left"/>
      <w:pPr>
        <w:ind w:left="2880" w:hanging="360"/>
      </w:pPr>
      <w:rPr>
        <w:rFonts w:ascii="Symbol" w:hAnsi="Symbol" w:hint="default"/>
      </w:rPr>
    </w:lvl>
    <w:lvl w:ilvl="4" w:tplc="4E00EE24">
      <w:start w:val="1"/>
      <w:numFmt w:val="bullet"/>
      <w:lvlText w:val="o"/>
      <w:lvlJc w:val="left"/>
      <w:pPr>
        <w:ind w:left="3600" w:hanging="360"/>
      </w:pPr>
      <w:rPr>
        <w:rFonts w:ascii="Courier New" w:hAnsi="Courier New" w:hint="default"/>
      </w:rPr>
    </w:lvl>
    <w:lvl w:ilvl="5" w:tplc="96E0B5DC">
      <w:start w:val="1"/>
      <w:numFmt w:val="bullet"/>
      <w:lvlText w:val=""/>
      <w:lvlJc w:val="left"/>
      <w:pPr>
        <w:ind w:left="4320" w:hanging="360"/>
      </w:pPr>
      <w:rPr>
        <w:rFonts w:ascii="Wingdings" w:hAnsi="Wingdings" w:hint="default"/>
      </w:rPr>
    </w:lvl>
    <w:lvl w:ilvl="6" w:tplc="6BD8DC12">
      <w:start w:val="1"/>
      <w:numFmt w:val="bullet"/>
      <w:lvlText w:val=""/>
      <w:lvlJc w:val="left"/>
      <w:pPr>
        <w:ind w:left="5040" w:hanging="360"/>
      </w:pPr>
      <w:rPr>
        <w:rFonts w:ascii="Symbol" w:hAnsi="Symbol" w:hint="default"/>
      </w:rPr>
    </w:lvl>
    <w:lvl w:ilvl="7" w:tplc="53FA00CC">
      <w:start w:val="1"/>
      <w:numFmt w:val="bullet"/>
      <w:lvlText w:val="o"/>
      <w:lvlJc w:val="left"/>
      <w:pPr>
        <w:ind w:left="5760" w:hanging="360"/>
      </w:pPr>
      <w:rPr>
        <w:rFonts w:ascii="Courier New" w:hAnsi="Courier New" w:hint="default"/>
      </w:rPr>
    </w:lvl>
    <w:lvl w:ilvl="8" w:tplc="137249C8">
      <w:start w:val="1"/>
      <w:numFmt w:val="bullet"/>
      <w:lvlText w:val=""/>
      <w:lvlJc w:val="left"/>
      <w:pPr>
        <w:ind w:left="6480" w:hanging="360"/>
      </w:pPr>
      <w:rPr>
        <w:rFonts w:ascii="Wingdings" w:hAnsi="Wingdings" w:hint="default"/>
      </w:rPr>
    </w:lvl>
  </w:abstractNum>
  <w:abstractNum w:abstractNumId="16" w15:restartNumberingAfterBreak="0">
    <w:nsid w:val="3B4B66CD"/>
    <w:multiLevelType w:val="hybridMultilevel"/>
    <w:tmpl w:val="EB0CDA36"/>
    <w:lvl w:ilvl="0" w:tplc="D274604A">
      <w:start w:val="1"/>
      <w:numFmt w:val="bullet"/>
      <w:lvlText w:val="-"/>
      <w:lvlJc w:val="left"/>
      <w:pPr>
        <w:ind w:left="720" w:hanging="360"/>
      </w:pPr>
      <w:rPr>
        <w:rFonts w:ascii="Aptos" w:hAnsi="Aptos" w:hint="default"/>
      </w:rPr>
    </w:lvl>
    <w:lvl w:ilvl="1" w:tplc="525C1B1E">
      <w:start w:val="1"/>
      <w:numFmt w:val="bullet"/>
      <w:lvlText w:val="o"/>
      <w:lvlJc w:val="left"/>
      <w:pPr>
        <w:ind w:left="1440" w:hanging="360"/>
      </w:pPr>
      <w:rPr>
        <w:rFonts w:ascii="Courier New" w:hAnsi="Courier New" w:hint="default"/>
      </w:rPr>
    </w:lvl>
    <w:lvl w:ilvl="2" w:tplc="BCD25D50">
      <w:start w:val="1"/>
      <w:numFmt w:val="bullet"/>
      <w:lvlText w:val=""/>
      <w:lvlJc w:val="left"/>
      <w:pPr>
        <w:ind w:left="2160" w:hanging="360"/>
      </w:pPr>
      <w:rPr>
        <w:rFonts w:ascii="Wingdings" w:hAnsi="Wingdings" w:hint="default"/>
      </w:rPr>
    </w:lvl>
    <w:lvl w:ilvl="3" w:tplc="5070681C">
      <w:start w:val="1"/>
      <w:numFmt w:val="bullet"/>
      <w:lvlText w:val=""/>
      <w:lvlJc w:val="left"/>
      <w:pPr>
        <w:ind w:left="2880" w:hanging="360"/>
      </w:pPr>
      <w:rPr>
        <w:rFonts w:ascii="Symbol" w:hAnsi="Symbol" w:hint="default"/>
      </w:rPr>
    </w:lvl>
    <w:lvl w:ilvl="4" w:tplc="76A032BA">
      <w:start w:val="1"/>
      <w:numFmt w:val="bullet"/>
      <w:lvlText w:val="o"/>
      <w:lvlJc w:val="left"/>
      <w:pPr>
        <w:ind w:left="3600" w:hanging="360"/>
      </w:pPr>
      <w:rPr>
        <w:rFonts w:ascii="Courier New" w:hAnsi="Courier New" w:hint="default"/>
      </w:rPr>
    </w:lvl>
    <w:lvl w:ilvl="5" w:tplc="6C14D250">
      <w:start w:val="1"/>
      <w:numFmt w:val="bullet"/>
      <w:lvlText w:val=""/>
      <w:lvlJc w:val="left"/>
      <w:pPr>
        <w:ind w:left="4320" w:hanging="360"/>
      </w:pPr>
      <w:rPr>
        <w:rFonts w:ascii="Wingdings" w:hAnsi="Wingdings" w:hint="default"/>
      </w:rPr>
    </w:lvl>
    <w:lvl w:ilvl="6" w:tplc="C9D8FA60">
      <w:start w:val="1"/>
      <w:numFmt w:val="bullet"/>
      <w:lvlText w:val=""/>
      <w:lvlJc w:val="left"/>
      <w:pPr>
        <w:ind w:left="5040" w:hanging="360"/>
      </w:pPr>
      <w:rPr>
        <w:rFonts w:ascii="Symbol" w:hAnsi="Symbol" w:hint="default"/>
      </w:rPr>
    </w:lvl>
    <w:lvl w:ilvl="7" w:tplc="EACAC4CC">
      <w:start w:val="1"/>
      <w:numFmt w:val="bullet"/>
      <w:lvlText w:val="o"/>
      <w:lvlJc w:val="left"/>
      <w:pPr>
        <w:ind w:left="5760" w:hanging="360"/>
      </w:pPr>
      <w:rPr>
        <w:rFonts w:ascii="Courier New" w:hAnsi="Courier New" w:hint="default"/>
      </w:rPr>
    </w:lvl>
    <w:lvl w:ilvl="8" w:tplc="63D683A2">
      <w:start w:val="1"/>
      <w:numFmt w:val="bullet"/>
      <w:lvlText w:val=""/>
      <w:lvlJc w:val="left"/>
      <w:pPr>
        <w:ind w:left="6480" w:hanging="360"/>
      </w:pPr>
      <w:rPr>
        <w:rFonts w:ascii="Wingdings" w:hAnsi="Wingdings" w:hint="default"/>
      </w:rPr>
    </w:lvl>
  </w:abstractNum>
  <w:abstractNum w:abstractNumId="17" w15:restartNumberingAfterBreak="0">
    <w:nsid w:val="3B529B9B"/>
    <w:multiLevelType w:val="hybridMultilevel"/>
    <w:tmpl w:val="6FAEE006"/>
    <w:lvl w:ilvl="0" w:tplc="C8363EDA">
      <w:start w:val="1"/>
      <w:numFmt w:val="bullet"/>
      <w:lvlText w:val="-"/>
      <w:lvlJc w:val="left"/>
      <w:pPr>
        <w:ind w:left="720" w:hanging="360"/>
      </w:pPr>
      <w:rPr>
        <w:rFonts w:ascii="Aptos" w:hAnsi="Aptos" w:hint="default"/>
      </w:rPr>
    </w:lvl>
    <w:lvl w:ilvl="1" w:tplc="ABE4CEC2">
      <w:start w:val="1"/>
      <w:numFmt w:val="bullet"/>
      <w:lvlText w:val="o"/>
      <w:lvlJc w:val="left"/>
      <w:pPr>
        <w:ind w:left="1440" w:hanging="360"/>
      </w:pPr>
      <w:rPr>
        <w:rFonts w:ascii="Courier New" w:hAnsi="Courier New" w:hint="default"/>
      </w:rPr>
    </w:lvl>
    <w:lvl w:ilvl="2" w:tplc="7C9A9F4E">
      <w:start w:val="1"/>
      <w:numFmt w:val="bullet"/>
      <w:lvlText w:val=""/>
      <w:lvlJc w:val="left"/>
      <w:pPr>
        <w:ind w:left="2160" w:hanging="360"/>
      </w:pPr>
      <w:rPr>
        <w:rFonts w:ascii="Wingdings" w:hAnsi="Wingdings" w:hint="default"/>
      </w:rPr>
    </w:lvl>
    <w:lvl w:ilvl="3" w:tplc="F5160992">
      <w:start w:val="1"/>
      <w:numFmt w:val="bullet"/>
      <w:lvlText w:val=""/>
      <w:lvlJc w:val="left"/>
      <w:pPr>
        <w:ind w:left="2880" w:hanging="360"/>
      </w:pPr>
      <w:rPr>
        <w:rFonts w:ascii="Symbol" w:hAnsi="Symbol" w:hint="default"/>
      </w:rPr>
    </w:lvl>
    <w:lvl w:ilvl="4" w:tplc="A1301E44">
      <w:start w:val="1"/>
      <w:numFmt w:val="bullet"/>
      <w:lvlText w:val="o"/>
      <w:lvlJc w:val="left"/>
      <w:pPr>
        <w:ind w:left="3600" w:hanging="360"/>
      </w:pPr>
      <w:rPr>
        <w:rFonts w:ascii="Courier New" w:hAnsi="Courier New" w:hint="default"/>
      </w:rPr>
    </w:lvl>
    <w:lvl w:ilvl="5" w:tplc="83DAE166">
      <w:start w:val="1"/>
      <w:numFmt w:val="bullet"/>
      <w:lvlText w:val=""/>
      <w:lvlJc w:val="left"/>
      <w:pPr>
        <w:ind w:left="4320" w:hanging="360"/>
      </w:pPr>
      <w:rPr>
        <w:rFonts w:ascii="Wingdings" w:hAnsi="Wingdings" w:hint="default"/>
      </w:rPr>
    </w:lvl>
    <w:lvl w:ilvl="6" w:tplc="A670C250">
      <w:start w:val="1"/>
      <w:numFmt w:val="bullet"/>
      <w:lvlText w:val=""/>
      <w:lvlJc w:val="left"/>
      <w:pPr>
        <w:ind w:left="5040" w:hanging="360"/>
      </w:pPr>
      <w:rPr>
        <w:rFonts w:ascii="Symbol" w:hAnsi="Symbol" w:hint="default"/>
      </w:rPr>
    </w:lvl>
    <w:lvl w:ilvl="7" w:tplc="E8EC6B5E">
      <w:start w:val="1"/>
      <w:numFmt w:val="bullet"/>
      <w:lvlText w:val="o"/>
      <w:lvlJc w:val="left"/>
      <w:pPr>
        <w:ind w:left="5760" w:hanging="360"/>
      </w:pPr>
      <w:rPr>
        <w:rFonts w:ascii="Courier New" w:hAnsi="Courier New" w:hint="default"/>
      </w:rPr>
    </w:lvl>
    <w:lvl w:ilvl="8" w:tplc="5AE0CA78">
      <w:start w:val="1"/>
      <w:numFmt w:val="bullet"/>
      <w:lvlText w:val=""/>
      <w:lvlJc w:val="left"/>
      <w:pPr>
        <w:ind w:left="6480" w:hanging="360"/>
      </w:pPr>
      <w:rPr>
        <w:rFonts w:ascii="Wingdings" w:hAnsi="Wingdings" w:hint="default"/>
      </w:rPr>
    </w:lvl>
  </w:abstractNum>
  <w:abstractNum w:abstractNumId="18" w15:restartNumberingAfterBreak="0">
    <w:nsid w:val="42947089"/>
    <w:multiLevelType w:val="multilevel"/>
    <w:tmpl w:val="299E12E6"/>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9" w15:restartNumberingAfterBreak="0">
    <w:nsid w:val="48C62350"/>
    <w:multiLevelType w:val="multilevel"/>
    <w:tmpl w:val="B81C7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9BF7756"/>
    <w:multiLevelType w:val="multilevel"/>
    <w:tmpl w:val="DC402B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3E424A4"/>
    <w:multiLevelType w:val="multilevel"/>
    <w:tmpl w:val="B5AE78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4F32D4F"/>
    <w:multiLevelType w:val="multilevel"/>
    <w:tmpl w:val="C660F01C"/>
    <w:lvl w:ilvl="0">
      <w:start w:val="1"/>
      <w:numFmt w:val="lowerLetter"/>
      <w:lvlText w:val="%1)"/>
      <w:lvlJc w:val="left"/>
      <w:pPr>
        <w:ind w:left="501" w:hanging="360"/>
      </w:pPr>
      <w:rPr>
        <w:b w:val="0"/>
      </w:r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23" w15:restartNumberingAfterBreak="0">
    <w:nsid w:val="62064D14"/>
    <w:multiLevelType w:val="multilevel"/>
    <w:tmpl w:val="7B420EB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85009F7"/>
    <w:multiLevelType w:val="multilevel"/>
    <w:tmpl w:val="EB129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93902EC"/>
    <w:multiLevelType w:val="multilevel"/>
    <w:tmpl w:val="7F24F2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62AAC66"/>
    <w:multiLevelType w:val="hybridMultilevel"/>
    <w:tmpl w:val="F73A0C96"/>
    <w:lvl w:ilvl="0" w:tplc="5C4E9D3E">
      <w:start w:val="1"/>
      <w:numFmt w:val="bullet"/>
      <w:lvlText w:val="-"/>
      <w:lvlJc w:val="left"/>
      <w:pPr>
        <w:ind w:left="720" w:hanging="360"/>
      </w:pPr>
      <w:rPr>
        <w:rFonts w:ascii="Aptos" w:hAnsi="Aptos" w:hint="default"/>
      </w:rPr>
    </w:lvl>
    <w:lvl w:ilvl="1" w:tplc="CAD03FA6">
      <w:start w:val="1"/>
      <w:numFmt w:val="bullet"/>
      <w:lvlText w:val="o"/>
      <w:lvlJc w:val="left"/>
      <w:pPr>
        <w:ind w:left="1440" w:hanging="360"/>
      </w:pPr>
      <w:rPr>
        <w:rFonts w:ascii="Courier New" w:hAnsi="Courier New" w:hint="default"/>
      </w:rPr>
    </w:lvl>
    <w:lvl w:ilvl="2" w:tplc="4F3C2150">
      <w:start w:val="1"/>
      <w:numFmt w:val="bullet"/>
      <w:lvlText w:val=""/>
      <w:lvlJc w:val="left"/>
      <w:pPr>
        <w:ind w:left="2160" w:hanging="360"/>
      </w:pPr>
      <w:rPr>
        <w:rFonts w:ascii="Wingdings" w:hAnsi="Wingdings" w:hint="default"/>
      </w:rPr>
    </w:lvl>
    <w:lvl w:ilvl="3" w:tplc="446EC718">
      <w:start w:val="1"/>
      <w:numFmt w:val="bullet"/>
      <w:lvlText w:val=""/>
      <w:lvlJc w:val="left"/>
      <w:pPr>
        <w:ind w:left="2880" w:hanging="360"/>
      </w:pPr>
      <w:rPr>
        <w:rFonts w:ascii="Symbol" w:hAnsi="Symbol" w:hint="default"/>
      </w:rPr>
    </w:lvl>
    <w:lvl w:ilvl="4" w:tplc="9C18C358">
      <w:start w:val="1"/>
      <w:numFmt w:val="bullet"/>
      <w:lvlText w:val="o"/>
      <w:lvlJc w:val="left"/>
      <w:pPr>
        <w:ind w:left="3600" w:hanging="360"/>
      </w:pPr>
      <w:rPr>
        <w:rFonts w:ascii="Courier New" w:hAnsi="Courier New" w:hint="default"/>
      </w:rPr>
    </w:lvl>
    <w:lvl w:ilvl="5" w:tplc="9DB0E410">
      <w:start w:val="1"/>
      <w:numFmt w:val="bullet"/>
      <w:lvlText w:val=""/>
      <w:lvlJc w:val="left"/>
      <w:pPr>
        <w:ind w:left="4320" w:hanging="360"/>
      </w:pPr>
      <w:rPr>
        <w:rFonts w:ascii="Wingdings" w:hAnsi="Wingdings" w:hint="default"/>
      </w:rPr>
    </w:lvl>
    <w:lvl w:ilvl="6" w:tplc="F07C5570">
      <w:start w:val="1"/>
      <w:numFmt w:val="bullet"/>
      <w:lvlText w:val=""/>
      <w:lvlJc w:val="left"/>
      <w:pPr>
        <w:ind w:left="5040" w:hanging="360"/>
      </w:pPr>
      <w:rPr>
        <w:rFonts w:ascii="Symbol" w:hAnsi="Symbol" w:hint="default"/>
      </w:rPr>
    </w:lvl>
    <w:lvl w:ilvl="7" w:tplc="0FE64368">
      <w:start w:val="1"/>
      <w:numFmt w:val="bullet"/>
      <w:lvlText w:val="o"/>
      <w:lvlJc w:val="left"/>
      <w:pPr>
        <w:ind w:left="5760" w:hanging="360"/>
      </w:pPr>
      <w:rPr>
        <w:rFonts w:ascii="Courier New" w:hAnsi="Courier New" w:hint="default"/>
      </w:rPr>
    </w:lvl>
    <w:lvl w:ilvl="8" w:tplc="68120D06">
      <w:start w:val="1"/>
      <w:numFmt w:val="bullet"/>
      <w:lvlText w:val=""/>
      <w:lvlJc w:val="left"/>
      <w:pPr>
        <w:ind w:left="6480" w:hanging="360"/>
      </w:pPr>
      <w:rPr>
        <w:rFonts w:ascii="Wingdings" w:hAnsi="Wingdings" w:hint="default"/>
      </w:rPr>
    </w:lvl>
  </w:abstractNum>
  <w:abstractNum w:abstractNumId="27" w15:restartNumberingAfterBreak="0">
    <w:nsid w:val="778B5D63"/>
    <w:multiLevelType w:val="multilevel"/>
    <w:tmpl w:val="DD76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1936A0"/>
    <w:multiLevelType w:val="multilevel"/>
    <w:tmpl w:val="C562BC66"/>
    <w:lvl w:ilvl="0">
      <w:start w:val="9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F3B5B4E"/>
    <w:multiLevelType w:val="multilevel"/>
    <w:tmpl w:val="071AABFA"/>
    <w:lvl w:ilvl="0">
      <w:start w:val="1"/>
      <w:numFmt w:val="bullet"/>
      <w:lvlText w:val="●"/>
      <w:lvlJc w:val="left"/>
      <w:pPr>
        <w:ind w:left="501" w:hanging="360"/>
      </w:pPr>
      <w:rPr>
        <w:rFonts w:ascii="Noto Sans Symbols" w:eastAsia="Noto Sans Symbols" w:hAnsi="Noto Sans Symbols" w:cs="Noto Sans Symbols"/>
      </w:rPr>
    </w:lvl>
    <w:lvl w:ilvl="1">
      <w:start w:val="1"/>
      <w:numFmt w:val="bullet"/>
      <w:lvlText w:val="o"/>
      <w:lvlJc w:val="left"/>
      <w:pPr>
        <w:ind w:left="1221" w:hanging="360"/>
      </w:pPr>
      <w:rPr>
        <w:rFonts w:ascii="Courier New" w:eastAsia="Courier New" w:hAnsi="Courier New" w:cs="Courier New"/>
      </w:rPr>
    </w:lvl>
    <w:lvl w:ilvl="2">
      <w:start w:val="1"/>
      <w:numFmt w:val="bullet"/>
      <w:lvlText w:val="▪"/>
      <w:lvlJc w:val="left"/>
      <w:pPr>
        <w:ind w:left="1941" w:hanging="360"/>
      </w:pPr>
      <w:rPr>
        <w:rFonts w:ascii="Noto Sans Symbols" w:eastAsia="Noto Sans Symbols" w:hAnsi="Noto Sans Symbols" w:cs="Noto Sans Symbols"/>
      </w:rPr>
    </w:lvl>
    <w:lvl w:ilvl="3">
      <w:start w:val="1"/>
      <w:numFmt w:val="bullet"/>
      <w:lvlText w:val="●"/>
      <w:lvlJc w:val="left"/>
      <w:pPr>
        <w:ind w:left="2661" w:hanging="360"/>
      </w:pPr>
      <w:rPr>
        <w:rFonts w:ascii="Noto Sans Symbols" w:eastAsia="Noto Sans Symbols" w:hAnsi="Noto Sans Symbols" w:cs="Noto Sans Symbols"/>
      </w:rPr>
    </w:lvl>
    <w:lvl w:ilvl="4">
      <w:start w:val="1"/>
      <w:numFmt w:val="bullet"/>
      <w:lvlText w:val="o"/>
      <w:lvlJc w:val="left"/>
      <w:pPr>
        <w:ind w:left="3381" w:hanging="360"/>
      </w:pPr>
      <w:rPr>
        <w:rFonts w:ascii="Courier New" w:eastAsia="Courier New" w:hAnsi="Courier New" w:cs="Courier New"/>
      </w:rPr>
    </w:lvl>
    <w:lvl w:ilvl="5">
      <w:start w:val="1"/>
      <w:numFmt w:val="bullet"/>
      <w:lvlText w:val="▪"/>
      <w:lvlJc w:val="left"/>
      <w:pPr>
        <w:ind w:left="4101" w:hanging="360"/>
      </w:pPr>
      <w:rPr>
        <w:rFonts w:ascii="Noto Sans Symbols" w:eastAsia="Noto Sans Symbols" w:hAnsi="Noto Sans Symbols" w:cs="Noto Sans Symbols"/>
      </w:rPr>
    </w:lvl>
    <w:lvl w:ilvl="6">
      <w:start w:val="1"/>
      <w:numFmt w:val="bullet"/>
      <w:lvlText w:val="●"/>
      <w:lvlJc w:val="left"/>
      <w:pPr>
        <w:ind w:left="4821" w:hanging="360"/>
      </w:pPr>
      <w:rPr>
        <w:rFonts w:ascii="Noto Sans Symbols" w:eastAsia="Noto Sans Symbols" w:hAnsi="Noto Sans Symbols" w:cs="Noto Sans Symbols"/>
      </w:rPr>
    </w:lvl>
    <w:lvl w:ilvl="7">
      <w:start w:val="1"/>
      <w:numFmt w:val="bullet"/>
      <w:lvlText w:val="o"/>
      <w:lvlJc w:val="left"/>
      <w:pPr>
        <w:ind w:left="5541" w:hanging="360"/>
      </w:pPr>
      <w:rPr>
        <w:rFonts w:ascii="Courier New" w:eastAsia="Courier New" w:hAnsi="Courier New" w:cs="Courier New"/>
      </w:rPr>
    </w:lvl>
    <w:lvl w:ilvl="8">
      <w:start w:val="1"/>
      <w:numFmt w:val="bullet"/>
      <w:lvlText w:val="▪"/>
      <w:lvlJc w:val="left"/>
      <w:pPr>
        <w:ind w:left="6261" w:hanging="360"/>
      </w:pPr>
      <w:rPr>
        <w:rFonts w:ascii="Noto Sans Symbols" w:eastAsia="Noto Sans Symbols" w:hAnsi="Noto Sans Symbols" w:cs="Noto Sans Symbols"/>
      </w:rPr>
    </w:lvl>
  </w:abstractNum>
  <w:num w:numId="1">
    <w:abstractNumId w:val="10"/>
  </w:num>
  <w:num w:numId="2">
    <w:abstractNumId w:val="2"/>
  </w:num>
  <w:num w:numId="3">
    <w:abstractNumId w:val="6"/>
  </w:num>
  <w:num w:numId="4">
    <w:abstractNumId w:val="16"/>
  </w:num>
  <w:num w:numId="5">
    <w:abstractNumId w:val="15"/>
  </w:num>
  <w:num w:numId="6">
    <w:abstractNumId w:val="26"/>
  </w:num>
  <w:num w:numId="7">
    <w:abstractNumId w:val="11"/>
  </w:num>
  <w:num w:numId="8">
    <w:abstractNumId w:val="17"/>
  </w:num>
  <w:num w:numId="9">
    <w:abstractNumId w:val="1"/>
  </w:num>
  <w:num w:numId="10">
    <w:abstractNumId w:val="21"/>
  </w:num>
  <w:num w:numId="11">
    <w:abstractNumId w:val="29"/>
  </w:num>
  <w:num w:numId="12">
    <w:abstractNumId w:val="18"/>
  </w:num>
  <w:num w:numId="13">
    <w:abstractNumId w:val="7"/>
  </w:num>
  <w:num w:numId="14">
    <w:abstractNumId w:val="25"/>
  </w:num>
  <w:num w:numId="15">
    <w:abstractNumId w:val="20"/>
  </w:num>
  <w:num w:numId="16">
    <w:abstractNumId w:val="0"/>
  </w:num>
  <w:num w:numId="17">
    <w:abstractNumId w:val="13"/>
  </w:num>
  <w:num w:numId="18">
    <w:abstractNumId w:val="12"/>
  </w:num>
  <w:num w:numId="19">
    <w:abstractNumId w:val="23"/>
  </w:num>
  <w:num w:numId="20">
    <w:abstractNumId w:val="19"/>
  </w:num>
  <w:num w:numId="21">
    <w:abstractNumId w:val="5"/>
  </w:num>
  <w:num w:numId="22">
    <w:abstractNumId w:val="24"/>
  </w:num>
  <w:num w:numId="23">
    <w:abstractNumId w:val="8"/>
  </w:num>
  <w:num w:numId="24">
    <w:abstractNumId w:val="22"/>
  </w:num>
  <w:num w:numId="25">
    <w:abstractNumId w:val="14"/>
  </w:num>
  <w:num w:numId="26">
    <w:abstractNumId w:val="3"/>
  </w:num>
  <w:num w:numId="27">
    <w:abstractNumId w:val="9"/>
  </w:num>
  <w:num w:numId="28">
    <w:abstractNumId w:val="28"/>
  </w:num>
  <w:num w:numId="29">
    <w:abstractNumId w:val="2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EC7"/>
    <w:rsid w:val="00002124"/>
    <w:rsid w:val="00013112"/>
    <w:rsid w:val="0003263F"/>
    <w:rsid w:val="00034040"/>
    <w:rsid w:val="00034D7D"/>
    <w:rsid w:val="00036917"/>
    <w:rsid w:val="00042CC9"/>
    <w:rsid w:val="00056B33"/>
    <w:rsid w:val="00057322"/>
    <w:rsid w:val="00065DD5"/>
    <w:rsid w:val="0006652F"/>
    <w:rsid w:val="00076D02"/>
    <w:rsid w:val="000948F4"/>
    <w:rsid w:val="00095EE2"/>
    <w:rsid w:val="000963BB"/>
    <w:rsid w:val="00096E4A"/>
    <w:rsid w:val="000A3072"/>
    <w:rsid w:val="000A6FAC"/>
    <w:rsid w:val="000B3591"/>
    <w:rsid w:val="000B4E9B"/>
    <w:rsid w:val="000C5967"/>
    <w:rsid w:val="00103A15"/>
    <w:rsid w:val="00104EE5"/>
    <w:rsid w:val="0011448E"/>
    <w:rsid w:val="0012188B"/>
    <w:rsid w:val="00122241"/>
    <w:rsid w:val="00130C25"/>
    <w:rsid w:val="001329FF"/>
    <w:rsid w:val="00135272"/>
    <w:rsid w:val="00135608"/>
    <w:rsid w:val="00145CE3"/>
    <w:rsid w:val="00167988"/>
    <w:rsid w:val="00176E50"/>
    <w:rsid w:val="0018742F"/>
    <w:rsid w:val="001941B9"/>
    <w:rsid w:val="001A2315"/>
    <w:rsid w:val="001A2941"/>
    <w:rsid w:val="001A75B4"/>
    <w:rsid w:val="001B305D"/>
    <w:rsid w:val="001B3DF4"/>
    <w:rsid w:val="001B54FD"/>
    <w:rsid w:val="001B662F"/>
    <w:rsid w:val="001C77B9"/>
    <w:rsid w:val="001E00C1"/>
    <w:rsid w:val="002124CA"/>
    <w:rsid w:val="00212927"/>
    <w:rsid w:val="0021674D"/>
    <w:rsid w:val="00220281"/>
    <w:rsid w:val="00221151"/>
    <w:rsid w:val="002267A5"/>
    <w:rsid w:val="00227D8A"/>
    <w:rsid w:val="002300C3"/>
    <w:rsid w:val="002314FE"/>
    <w:rsid w:val="002360E4"/>
    <w:rsid w:val="002414F1"/>
    <w:rsid w:val="00244E90"/>
    <w:rsid w:val="0026225F"/>
    <w:rsid w:val="00263AD0"/>
    <w:rsid w:val="002658BA"/>
    <w:rsid w:val="002931C7"/>
    <w:rsid w:val="002935C2"/>
    <w:rsid w:val="002A50CE"/>
    <w:rsid w:val="002B5FF9"/>
    <w:rsid w:val="002C02CA"/>
    <w:rsid w:val="002C77A0"/>
    <w:rsid w:val="002D18FE"/>
    <w:rsid w:val="002D1C89"/>
    <w:rsid w:val="002E21CF"/>
    <w:rsid w:val="002E4175"/>
    <w:rsid w:val="002E6EA3"/>
    <w:rsid w:val="002F346E"/>
    <w:rsid w:val="002F77FC"/>
    <w:rsid w:val="00301C99"/>
    <w:rsid w:val="0030252B"/>
    <w:rsid w:val="00303463"/>
    <w:rsid w:val="00303A4E"/>
    <w:rsid w:val="00306958"/>
    <w:rsid w:val="00314D9D"/>
    <w:rsid w:val="00316FC1"/>
    <w:rsid w:val="0032236F"/>
    <w:rsid w:val="0033027A"/>
    <w:rsid w:val="003340E4"/>
    <w:rsid w:val="003366C2"/>
    <w:rsid w:val="003541E7"/>
    <w:rsid w:val="00360E6F"/>
    <w:rsid w:val="0036280C"/>
    <w:rsid w:val="00364EFC"/>
    <w:rsid w:val="00376C99"/>
    <w:rsid w:val="00383152"/>
    <w:rsid w:val="00386703"/>
    <w:rsid w:val="00386F41"/>
    <w:rsid w:val="00390D24"/>
    <w:rsid w:val="003919D8"/>
    <w:rsid w:val="00394568"/>
    <w:rsid w:val="003B203D"/>
    <w:rsid w:val="003B5626"/>
    <w:rsid w:val="003B6F00"/>
    <w:rsid w:val="003C2776"/>
    <w:rsid w:val="003C27A0"/>
    <w:rsid w:val="003C48EA"/>
    <w:rsid w:val="003D2985"/>
    <w:rsid w:val="003D412A"/>
    <w:rsid w:val="003E0C24"/>
    <w:rsid w:val="003E4194"/>
    <w:rsid w:val="003F0F9E"/>
    <w:rsid w:val="003F318A"/>
    <w:rsid w:val="0040073A"/>
    <w:rsid w:val="00401232"/>
    <w:rsid w:val="0041157F"/>
    <w:rsid w:val="00444729"/>
    <w:rsid w:val="0046011A"/>
    <w:rsid w:val="00465210"/>
    <w:rsid w:val="00475E7E"/>
    <w:rsid w:val="00477F7D"/>
    <w:rsid w:val="0048007E"/>
    <w:rsid w:val="00490A32"/>
    <w:rsid w:val="004943F0"/>
    <w:rsid w:val="004A0BCB"/>
    <w:rsid w:val="004B198E"/>
    <w:rsid w:val="004B3313"/>
    <w:rsid w:val="004B3E86"/>
    <w:rsid w:val="004B777E"/>
    <w:rsid w:val="004C00E4"/>
    <w:rsid w:val="004D02E7"/>
    <w:rsid w:val="004D2407"/>
    <w:rsid w:val="004D7D7C"/>
    <w:rsid w:val="004E1FF4"/>
    <w:rsid w:val="004E7B91"/>
    <w:rsid w:val="004E7C8E"/>
    <w:rsid w:val="004F381A"/>
    <w:rsid w:val="0050078D"/>
    <w:rsid w:val="005040FE"/>
    <w:rsid w:val="00512928"/>
    <w:rsid w:val="00513527"/>
    <w:rsid w:val="00516CB4"/>
    <w:rsid w:val="00521BF3"/>
    <w:rsid w:val="00525DEE"/>
    <w:rsid w:val="00554A77"/>
    <w:rsid w:val="0055537A"/>
    <w:rsid w:val="005560B1"/>
    <w:rsid w:val="00557130"/>
    <w:rsid w:val="00576A69"/>
    <w:rsid w:val="00594472"/>
    <w:rsid w:val="0059482A"/>
    <w:rsid w:val="00597E6C"/>
    <w:rsid w:val="005A0473"/>
    <w:rsid w:val="005A171C"/>
    <w:rsid w:val="005B06B0"/>
    <w:rsid w:val="005C6112"/>
    <w:rsid w:val="005C76BD"/>
    <w:rsid w:val="005C7B39"/>
    <w:rsid w:val="005D0009"/>
    <w:rsid w:val="005D3E67"/>
    <w:rsid w:val="005E4398"/>
    <w:rsid w:val="005E472C"/>
    <w:rsid w:val="005F06D9"/>
    <w:rsid w:val="005F4202"/>
    <w:rsid w:val="005F77F6"/>
    <w:rsid w:val="00612E38"/>
    <w:rsid w:val="00616627"/>
    <w:rsid w:val="00626FCE"/>
    <w:rsid w:val="00633207"/>
    <w:rsid w:val="00636853"/>
    <w:rsid w:val="0064366E"/>
    <w:rsid w:val="006438ED"/>
    <w:rsid w:val="006456C5"/>
    <w:rsid w:val="0064688E"/>
    <w:rsid w:val="00647EE0"/>
    <w:rsid w:val="00651F13"/>
    <w:rsid w:val="006632C5"/>
    <w:rsid w:val="00665286"/>
    <w:rsid w:val="00674B2F"/>
    <w:rsid w:val="00683431"/>
    <w:rsid w:val="00686383"/>
    <w:rsid w:val="00686A40"/>
    <w:rsid w:val="00696F40"/>
    <w:rsid w:val="006B29C2"/>
    <w:rsid w:val="006C5020"/>
    <w:rsid w:val="006D0F41"/>
    <w:rsid w:val="006D2717"/>
    <w:rsid w:val="006D483D"/>
    <w:rsid w:val="006E3030"/>
    <w:rsid w:val="006F4E1C"/>
    <w:rsid w:val="00710542"/>
    <w:rsid w:val="00724C57"/>
    <w:rsid w:val="00733F3F"/>
    <w:rsid w:val="00736CCA"/>
    <w:rsid w:val="00750342"/>
    <w:rsid w:val="00750B29"/>
    <w:rsid w:val="00750D35"/>
    <w:rsid w:val="00761EDA"/>
    <w:rsid w:val="00771F50"/>
    <w:rsid w:val="007A5ABD"/>
    <w:rsid w:val="007B029F"/>
    <w:rsid w:val="007C0784"/>
    <w:rsid w:val="007C5752"/>
    <w:rsid w:val="007C6EDE"/>
    <w:rsid w:val="007D05F3"/>
    <w:rsid w:val="007D196A"/>
    <w:rsid w:val="007D3562"/>
    <w:rsid w:val="007D5ABA"/>
    <w:rsid w:val="007D719F"/>
    <w:rsid w:val="007E0123"/>
    <w:rsid w:val="008009F7"/>
    <w:rsid w:val="00802822"/>
    <w:rsid w:val="008123F3"/>
    <w:rsid w:val="0083730F"/>
    <w:rsid w:val="0084305F"/>
    <w:rsid w:val="00845418"/>
    <w:rsid w:val="008460C7"/>
    <w:rsid w:val="008515C7"/>
    <w:rsid w:val="0085182C"/>
    <w:rsid w:val="00861A95"/>
    <w:rsid w:val="00864CFD"/>
    <w:rsid w:val="00867EA7"/>
    <w:rsid w:val="00874EC0"/>
    <w:rsid w:val="008A0584"/>
    <w:rsid w:val="008B0859"/>
    <w:rsid w:val="008C7600"/>
    <w:rsid w:val="008D2337"/>
    <w:rsid w:val="008D43DB"/>
    <w:rsid w:val="008E15DB"/>
    <w:rsid w:val="008F4D78"/>
    <w:rsid w:val="008F63FB"/>
    <w:rsid w:val="009020B5"/>
    <w:rsid w:val="009059DD"/>
    <w:rsid w:val="00913642"/>
    <w:rsid w:val="00916F81"/>
    <w:rsid w:val="009170E6"/>
    <w:rsid w:val="00920AE0"/>
    <w:rsid w:val="00927724"/>
    <w:rsid w:val="00932BB4"/>
    <w:rsid w:val="009341F9"/>
    <w:rsid w:val="00937C60"/>
    <w:rsid w:val="00943FC6"/>
    <w:rsid w:val="00945471"/>
    <w:rsid w:val="00947B17"/>
    <w:rsid w:val="00947C51"/>
    <w:rsid w:val="00960193"/>
    <w:rsid w:val="009601C5"/>
    <w:rsid w:val="00962FC4"/>
    <w:rsid w:val="0096560C"/>
    <w:rsid w:val="009679FF"/>
    <w:rsid w:val="009765DB"/>
    <w:rsid w:val="00981267"/>
    <w:rsid w:val="00994FD5"/>
    <w:rsid w:val="009A413E"/>
    <w:rsid w:val="009A6C0D"/>
    <w:rsid w:val="009A774B"/>
    <w:rsid w:val="009B0ACF"/>
    <w:rsid w:val="009B4745"/>
    <w:rsid w:val="009C3B3F"/>
    <w:rsid w:val="009D5A32"/>
    <w:rsid w:val="009D6D27"/>
    <w:rsid w:val="009E0434"/>
    <w:rsid w:val="009E4C26"/>
    <w:rsid w:val="009E560A"/>
    <w:rsid w:val="009E7E1B"/>
    <w:rsid w:val="009F1CC6"/>
    <w:rsid w:val="009F62BE"/>
    <w:rsid w:val="00A037F7"/>
    <w:rsid w:val="00A03F55"/>
    <w:rsid w:val="00A106F4"/>
    <w:rsid w:val="00A11476"/>
    <w:rsid w:val="00A1606B"/>
    <w:rsid w:val="00A22DB5"/>
    <w:rsid w:val="00A262C0"/>
    <w:rsid w:val="00A4219A"/>
    <w:rsid w:val="00A443B5"/>
    <w:rsid w:val="00A54045"/>
    <w:rsid w:val="00A6049F"/>
    <w:rsid w:val="00A64819"/>
    <w:rsid w:val="00A73240"/>
    <w:rsid w:val="00A76948"/>
    <w:rsid w:val="00A806A6"/>
    <w:rsid w:val="00A823A9"/>
    <w:rsid w:val="00A86059"/>
    <w:rsid w:val="00A955E7"/>
    <w:rsid w:val="00AB4557"/>
    <w:rsid w:val="00AB6597"/>
    <w:rsid w:val="00AC665A"/>
    <w:rsid w:val="00AD0723"/>
    <w:rsid w:val="00AD1963"/>
    <w:rsid w:val="00AD393D"/>
    <w:rsid w:val="00AD459B"/>
    <w:rsid w:val="00AE0516"/>
    <w:rsid w:val="00AE1340"/>
    <w:rsid w:val="00AF28EC"/>
    <w:rsid w:val="00AF2C4F"/>
    <w:rsid w:val="00AF5FE4"/>
    <w:rsid w:val="00B003D3"/>
    <w:rsid w:val="00B03410"/>
    <w:rsid w:val="00B06E76"/>
    <w:rsid w:val="00B136C2"/>
    <w:rsid w:val="00B140FE"/>
    <w:rsid w:val="00B25819"/>
    <w:rsid w:val="00B33260"/>
    <w:rsid w:val="00B355AB"/>
    <w:rsid w:val="00B44474"/>
    <w:rsid w:val="00B466C0"/>
    <w:rsid w:val="00B7076A"/>
    <w:rsid w:val="00B714BC"/>
    <w:rsid w:val="00B7289B"/>
    <w:rsid w:val="00B76F8B"/>
    <w:rsid w:val="00B82406"/>
    <w:rsid w:val="00B90B4B"/>
    <w:rsid w:val="00B92F68"/>
    <w:rsid w:val="00B939DC"/>
    <w:rsid w:val="00B958C0"/>
    <w:rsid w:val="00BB28F3"/>
    <w:rsid w:val="00BB5701"/>
    <w:rsid w:val="00C0029C"/>
    <w:rsid w:val="00C01BE4"/>
    <w:rsid w:val="00C01F42"/>
    <w:rsid w:val="00C10DD9"/>
    <w:rsid w:val="00C11CA7"/>
    <w:rsid w:val="00C16777"/>
    <w:rsid w:val="00C22129"/>
    <w:rsid w:val="00C43CAE"/>
    <w:rsid w:val="00C44E6F"/>
    <w:rsid w:val="00C44F55"/>
    <w:rsid w:val="00C511C7"/>
    <w:rsid w:val="00C53523"/>
    <w:rsid w:val="00C53F3C"/>
    <w:rsid w:val="00C5569B"/>
    <w:rsid w:val="00C71222"/>
    <w:rsid w:val="00C72237"/>
    <w:rsid w:val="00CA0EAD"/>
    <w:rsid w:val="00CA5ABE"/>
    <w:rsid w:val="00CC006C"/>
    <w:rsid w:val="00CC2232"/>
    <w:rsid w:val="00CD4DAD"/>
    <w:rsid w:val="00CD6A9E"/>
    <w:rsid w:val="00CD7B76"/>
    <w:rsid w:val="00CE1295"/>
    <w:rsid w:val="00CF5792"/>
    <w:rsid w:val="00D036DA"/>
    <w:rsid w:val="00D05E11"/>
    <w:rsid w:val="00D25182"/>
    <w:rsid w:val="00D25345"/>
    <w:rsid w:val="00D27ACD"/>
    <w:rsid w:val="00D33DF2"/>
    <w:rsid w:val="00D502F3"/>
    <w:rsid w:val="00D511D2"/>
    <w:rsid w:val="00D5447C"/>
    <w:rsid w:val="00D55C4B"/>
    <w:rsid w:val="00D5777E"/>
    <w:rsid w:val="00D611D8"/>
    <w:rsid w:val="00D65D6D"/>
    <w:rsid w:val="00D71F6B"/>
    <w:rsid w:val="00D840B3"/>
    <w:rsid w:val="00D93434"/>
    <w:rsid w:val="00D93A61"/>
    <w:rsid w:val="00D94BA1"/>
    <w:rsid w:val="00DA3967"/>
    <w:rsid w:val="00DB5DE7"/>
    <w:rsid w:val="00DB71A8"/>
    <w:rsid w:val="00DC2C5D"/>
    <w:rsid w:val="00DC2EC7"/>
    <w:rsid w:val="00DC6A32"/>
    <w:rsid w:val="00DC7124"/>
    <w:rsid w:val="00DC75DD"/>
    <w:rsid w:val="00DD5B3B"/>
    <w:rsid w:val="00DE1C0A"/>
    <w:rsid w:val="00E063E0"/>
    <w:rsid w:val="00E10022"/>
    <w:rsid w:val="00E21111"/>
    <w:rsid w:val="00E24FE2"/>
    <w:rsid w:val="00E33FF6"/>
    <w:rsid w:val="00E51D77"/>
    <w:rsid w:val="00E526B1"/>
    <w:rsid w:val="00E55126"/>
    <w:rsid w:val="00E604F9"/>
    <w:rsid w:val="00E652AF"/>
    <w:rsid w:val="00E81A3D"/>
    <w:rsid w:val="00E95F8D"/>
    <w:rsid w:val="00EA6DF4"/>
    <w:rsid w:val="00EB3738"/>
    <w:rsid w:val="00EB4ACC"/>
    <w:rsid w:val="00EB6316"/>
    <w:rsid w:val="00EB7B2F"/>
    <w:rsid w:val="00EC35F6"/>
    <w:rsid w:val="00EC5811"/>
    <w:rsid w:val="00ED4A7E"/>
    <w:rsid w:val="00EE09A4"/>
    <w:rsid w:val="00EE2108"/>
    <w:rsid w:val="00EF47B2"/>
    <w:rsid w:val="00EF683E"/>
    <w:rsid w:val="00F01011"/>
    <w:rsid w:val="00F05093"/>
    <w:rsid w:val="00F06A5D"/>
    <w:rsid w:val="00F16B85"/>
    <w:rsid w:val="00F21EE2"/>
    <w:rsid w:val="00F25394"/>
    <w:rsid w:val="00F3090C"/>
    <w:rsid w:val="00F33C3D"/>
    <w:rsid w:val="00F343B4"/>
    <w:rsid w:val="00F4283F"/>
    <w:rsid w:val="00F43C02"/>
    <w:rsid w:val="00F44AC1"/>
    <w:rsid w:val="00F617AB"/>
    <w:rsid w:val="00F62198"/>
    <w:rsid w:val="00F6243F"/>
    <w:rsid w:val="00F7097B"/>
    <w:rsid w:val="00F74B0B"/>
    <w:rsid w:val="00FA23F1"/>
    <w:rsid w:val="00FA4AAA"/>
    <w:rsid w:val="00FA659B"/>
    <w:rsid w:val="00FC19B2"/>
    <w:rsid w:val="00FC3A6D"/>
    <w:rsid w:val="00FC4A09"/>
    <w:rsid w:val="00FD1D07"/>
    <w:rsid w:val="00FD29DA"/>
    <w:rsid w:val="00FD32EA"/>
    <w:rsid w:val="00FD3F03"/>
    <w:rsid w:val="00FE15D5"/>
    <w:rsid w:val="00FE7FC9"/>
    <w:rsid w:val="00FF51C1"/>
    <w:rsid w:val="00FF6B74"/>
    <w:rsid w:val="0723639E"/>
    <w:rsid w:val="0769B0F9"/>
    <w:rsid w:val="5CA6E6E0"/>
    <w:rsid w:val="689DC7A4"/>
    <w:rsid w:val="6B920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09F39"/>
  <w15:docId w15:val="{30300FF8-81C7-4EFA-856F-7449F904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AC1"/>
  </w:style>
  <w:style w:type="paragraph" w:styleId="Ttulo1">
    <w:name w:val="heading 1"/>
    <w:basedOn w:val="Normal"/>
    <w:next w:val="Normal"/>
    <w:link w:val="Ttulo1Car"/>
    <w:uiPriority w:val="9"/>
    <w:qFormat/>
    <w:pPr>
      <w:keepNext/>
      <w:keepLines/>
      <w:spacing w:before="240" w:after="0"/>
      <w:outlineLvl w:val="0"/>
    </w:pPr>
    <w:rPr>
      <w:color w:val="2E75B5"/>
      <w:sz w:val="32"/>
      <w:szCs w:val="32"/>
    </w:rPr>
  </w:style>
  <w:style w:type="paragraph" w:styleId="Ttulo2">
    <w:name w:val="heading 2"/>
    <w:basedOn w:val="Normal"/>
    <w:next w:val="Normal"/>
    <w:uiPriority w:val="9"/>
    <w:semiHidden/>
    <w:unhideWhenUsed/>
    <w:qFormat/>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NormalTable1">
    <w:name w:val="Normal Table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70" w:type="dxa"/>
        <w:right w:w="70" w:type="dxa"/>
      </w:tblCellMar>
    </w:tblPr>
  </w:style>
  <w:style w:type="table" w:customStyle="1" w:styleId="a0">
    <w:basedOn w:val="Tablanormal"/>
    <w:tblPr>
      <w:tblStyleRowBandSize w:val="1"/>
      <w:tblStyleColBandSize w:val="1"/>
      <w:tblCellMar>
        <w:left w:w="0" w:type="dxa"/>
        <w:right w:w="0" w:type="dxa"/>
      </w:tblCellMar>
    </w:tblPr>
  </w:style>
  <w:style w:type="table" w:customStyle="1" w:styleId="a1">
    <w:basedOn w:val="Tablanormal"/>
    <w:tblPr>
      <w:tblStyleRowBandSize w:val="1"/>
      <w:tblStyleColBandSize w:val="1"/>
      <w:tblCellMar>
        <w:left w:w="70" w:type="dxa"/>
        <w:right w:w="70" w:type="dxa"/>
      </w:tblCellMar>
    </w:tblPr>
  </w:style>
  <w:style w:type="table" w:customStyle="1" w:styleId="a2">
    <w:basedOn w:val="Tablanormal"/>
    <w:tblPr>
      <w:tblStyleRowBandSize w:val="1"/>
      <w:tblStyleColBandSize w:val="1"/>
      <w:tblCellMar>
        <w:left w:w="115" w:type="dxa"/>
        <w:right w:w="115" w:type="dxa"/>
      </w:tblCellMar>
    </w:tblPr>
    <w:tcPr>
      <w:shd w:val="clear" w:color="auto" w:fill="E2EFD9"/>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3">
    <w:basedOn w:val="Tablanormal"/>
    <w:tblPr>
      <w:tblStyleRowBandSize w:val="1"/>
      <w:tblStyleColBandSize w:val="1"/>
      <w:tblCellMar>
        <w:left w:w="115" w:type="dxa"/>
        <w:right w:w="115" w:type="dxa"/>
      </w:tblCellMar>
    </w:tblPr>
    <w:tcPr>
      <w:shd w:val="clear" w:color="auto" w:fill="E2EFD9"/>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4">
    <w:basedOn w:val="Tablanormal"/>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5">
    <w:basedOn w:val="Tablanormal"/>
    <w:tblPr>
      <w:tblStyleRowBandSize w:val="1"/>
      <w:tblStyleColBandSize w:val="1"/>
      <w:tblCellMar>
        <w:left w:w="70" w:type="dxa"/>
        <w:right w:w="70" w:type="dxa"/>
      </w:tblCellMar>
    </w:tblPr>
  </w:style>
  <w:style w:type="table" w:customStyle="1" w:styleId="a6">
    <w:basedOn w:val="Tablanormal"/>
    <w:tblPr>
      <w:tblStyleRowBandSize w:val="1"/>
      <w:tblStyleColBandSize w:val="1"/>
      <w:tblCellMar>
        <w:left w:w="70" w:type="dxa"/>
        <w:right w:w="70" w:type="dxa"/>
      </w:tblCellMar>
    </w:tblPr>
  </w:style>
  <w:style w:type="table" w:customStyle="1" w:styleId="a7">
    <w:basedOn w:val="Tablanormal"/>
    <w:tblPr>
      <w:tblStyleRowBandSize w:val="1"/>
      <w:tblStyleColBandSize w:val="1"/>
      <w:tblCellMar>
        <w:left w:w="70" w:type="dxa"/>
        <w:right w:w="70" w:type="dxa"/>
      </w:tblCellMar>
    </w:tblPr>
  </w:style>
  <w:style w:type="table" w:customStyle="1" w:styleId="a8">
    <w:basedOn w:val="Tablanormal"/>
    <w:tblPr>
      <w:tblStyleRowBandSize w:val="1"/>
      <w:tblStyleColBandSize w:val="1"/>
      <w:tblCellMar>
        <w:left w:w="70" w:type="dxa"/>
        <w:right w:w="70" w:type="dxa"/>
      </w:tblCellMar>
    </w:tblPr>
  </w:style>
  <w:style w:type="table" w:customStyle="1" w:styleId="a9">
    <w:basedOn w:val="Tablanormal"/>
    <w:tblPr>
      <w:tblStyleRowBandSize w:val="1"/>
      <w:tblStyleColBandSize w:val="1"/>
      <w:tblCellMar>
        <w:top w:w="15" w:type="dxa"/>
        <w:left w:w="15" w:type="dxa"/>
        <w:bottom w:w="15" w:type="dxa"/>
        <w:right w:w="15" w:type="dxa"/>
      </w:tblCellMar>
    </w:tblPr>
  </w:style>
  <w:style w:type="table" w:customStyle="1" w:styleId="aa">
    <w:basedOn w:val="Tablanormal"/>
    <w:tblPr>
      <w:tblStyleRowBandSize w:val="1"/>
      <w:tblStyleColBandSize w:val="1"/>
      <w:tblCellMar>
        <w:top w:w="15" w:type="dxa"/>
        <w:left w:w="15" w:type="dxa"/>
        <w:bottom w:w="15" w:type="dxa"/>
        <w:right w:w="15" w:type="dxa"/>
      </w:tblCellMar>
    </w:tblPr>
  </w:style>
  <w:style w:type="table" w:customStyle="1" w:styleId="ab">
    <w:basedOn w:val="Tablanormal"/>
    <w:tblPr>
      <w:tblStyleRowBandSize w:val="1"/>
      <w:tblStyleColBandSize w:val="1"/>
      <w:tblCellMar>
        <w:top w:w="15" w:type="dxa"/>
        <w:left w:w="15" w:type="dxa"/>
        <w:bottom w:w="15" w:type="dxa"/>
        <w:right w:w="15" w:type="dxa"/>
      </w:tblCellMar>
    </w:tblPr>
  </w:style>
  <w:style w:type="table" w:customStyle="1" w:styleId="ac">
    <w:basedOn w:val="Tablanormal"/>
    <w:tblPr>
      <w:tblStyleRowBandSize w:val="1"/>
      <w:tblStyleColBandSize w:val="1"/>
      <w:tblCellMar>
        <w:left w:w="70" w:type="dxa"/>
        <w:right w:w="70" w:type="dxa"/>
      </w:tblCellMar>
    </w:tblPr>
  </w:style>
  <w:style w:type="table" w:customStyle="1" w:styleId="ad">
    <w:basedOn w:val="Tablanormal"/>
    <w:tblPr>
      <w:tblStyleRowBandSize w:val="1"/>
      <w:tblStyleColBandSize w:val="1"/>
      <w:tblCellMar>
        <w:left w:w="70" w:type="dxa"/>
        <w:right w:w="70" w:type="dxa"/>
      </w:tblCellMar>
    </w:tblPr>
  </w:style>
  <w:style w:type="table" w:customStyle="1" w:styleId="ae">
    <w:basedOn w:val="Tablanormal"/>
    <w:tblPr>
      <w:tblStyleRowBandSize w:val="1"/>
      <w:tblStyleColBandSize w:val="1"/>
      <w:tblCellMar>
        <w:left w:w="70" w:type="dxa"/>
        <w:right w:w="70" w:type="dxa"/>
      </w:tblCellMar>
    </w:tblPr>
  </w:style>
  <w:style w:type="table" w:customStyle="1" w:styleId="af">
    <w:basedOn w:val="Tablanormal"/>
    <w:tblPr>
      <w:tblStyleRowBandSize w:val="1"/>
      <w:tblStyleColBandSize w:val="1"/>
      <w:tblCellMar>
        <w:left w:w="70" w:type="dxa"/>
        <w:right w:w="70" w:type="dxa"/>
      </w:tblCellMar>
    </w:tblPr>
  </w:style>
  <w:style w:type="table" w:customStyle="1" w:styleId="af0">
    <w:basedOn w:val="Tablanormal"/>
    <w:tblPr>
      <w:tblStyleRowBandSize w:val="1"/>
      <w:tblStyleColBandSize w:val="1"/>
      <w:tblCellMar>
        <w:left w:w="70" w:type="dxa"/>
        <w:right w:w="70" w:type="dxa"/>
      </w:tblCellMar>
    </w:tblPr>
  </w:style>
  <w:style w:type="table" w:customStyle="1" w:styleId="af1">
    <w:basedOn w:val="Tablanormal"/>
    <w:tblPr>
      <w:tblStyleRowBandSize w:val="1"/>
      <w:tblStyleColBandSize w:val="1"/>
      <w:tblCellMar>
        <w:left w:w="70" w:type="dxa"/>
        <w:right w:w="70" w:type="dxa"/>
      </w:tblCellMar>
    </w:tblPr>
  </w:style>
  <w:style w:type="table" w:customStyle="1" w:styleId="af2">
    <w:basedOn w:val="Tablanormal"/>
    <w:tblPr>
      <w:tblStyleRowBandSize w:val="1"/>
      <w:tblStyleColBandSize w:val="1"/>
      <w:tblCellMar>
        <w:left w:w="70" w:type="dxa"/>
        <w:right w:w="70" w:type="dxa"/>
      </w:tblCellMar>
    </w:tblPr>
  </w:style>
  <w:style w:type="table" w:customStyle="1" w:styleId="af3">
    <w:basedOn w:val="Tablanormal"/>
    <w:tblPr>
      <w:tblStyleRowBandSize w:val="1"/>
      <w:tblStyleColBandSize w:val="1"/>
      <w:tblCellMar>
        <w:left w:w="70" w:type="dxa"/>
        <w:right w:w="70" w:type="dxa"/>
      </w:tblCellMar>
    </w:tblPr>
  </w:style>
  <w:style w:type="table" w:customStyle="1" w:styleId="af4">
    <w:basedOn w:val="Tablanormal"/>
    <w:tblPr>
      <w:tblStyleRowBandSize w:val="1"/>
      <w:tblStyleColBandSize w:val="1"/>
      <w:tblCellMar>
        <w:left w:w="70" w:type="dxa"/>
        <w:right w:w="70" w:type="dxa"/>
      </w:tblCellMar>
    </w:tblPr>
  </w:style>
  <w:style w:type="table" w:customStyle="1" w:styleId="af5">
    <w:basedOn w:val="Tablanormal"/>
    <w:tblPr>
      <w:tblStyleRowBandSize w:val="1"/>
      <w:tblStyleColBandSize w:val="1"/>
      <w:tblCellMar>
        <w:left w:w="70" w:type="dxa"/>
        <w:right w:w="70" w:type="dxa"/>
      </w:tblCellMar>
    </w:tblPr>
  </w:style>
  <w:style w:type="table" w:customStyle="1" w:styleId="af6">
    <w:basedOn w:val="Tablanormal"/>
    <w:tblPr>
      <w:tblStyleRowBandSize w:val="1"/>
      <w:tblStyleColBandSize w:val="1"/>
      <w:tblCellMar>
        <w:left w:w="70" w:type="dxa"/>
        <w:right w:w="70" w:type="dxa"/>
      </w:tblCellMar>
    </w:tblPr>
  </w:style>
  <w:style w:type="table" w:customStyle="1" w:styleId="af7">
    <w:basedOn w:val="Tablanormal"/>
    <w:tblPr>
      <w:tblStyleRowBandSize w:val="1"/>
      <w:tblStyleColBandSize w:val="1"/>
      <w:tblCellMar>
        <w:left w:w="70" w:type="dxa"/>
        <w:right w:w="70" w:type="dxa"/>
      </w:tblCellMar>
    </w:tblPr>
  </w:style>
  <w:style w:type="table" w:customStyle="1" w:styleId="af8">
    <w:basedOn w:val="Tablanormal"/>
    <w:tblPr>
      <w:tblStyleRowBandSize w:val="1"/>
      <w:tblStyleColBandSize w:val="1"/>
      <w:tblCellMar>
        <w:left w:w="70" w:type="dxa"/>
        <w:right w:w="70" w:type="dxa"/>
      </w:tblCellMar>
    </w:tblPr>
  </w:style>
  <w:style w:type="table" w:customStyle="1" w:styleId="af9">
    <w:basedOn w:val="Tablanormal"/>
    <w:tblPr>
      <w:tblStyleRowBandSize w:val="1"/>
      <w:tblStyleColBandSize w:val="1"/>
      <w:tblCellMar>
        <w:left w:w="70" w:type="dxa"/>
        <w:right w:w="70" w:type="dxa"/>
      </w:tblCellMar>
    </w:tblPr>
  </w:style>
  <w:style w:type="table" w:customStyle="1" w:styleId="afa">
    <w:basedOn w:val="Tablanormal"/>
    <w:tblPr>
      <w:tblStyleRowBandSize w:val="1"/>
      <w:tblStyleColBandSize w:val="1"/>
      <w:tblCellMar>
        <w:left w:w="70" w:type="dxa"/>
        <w:right w:w="70" w:type="dxa"/>
      </w:tblCellMar>
    </w:tblPr>
  </w:style>
  <w:style w:type="table" w:customStyle="1" w:styleId="afb">
    <w:basedOn w:val="Tablanormal"/>
    <w:tblPr>
      <w:tblStyleRowBandSize w:val="1"/>
      <w:tblStyleColBandSize w:val="1"/>
      <w:tblCellMar>
        <w:left w:w="70" w:type="dxa"/>
        <w:right w:w="70" w:type="dxa"/>
      </w:tblCellMar>
    </w:tblPr>
  </w:style>
  <w:style w:type="table" w:customStyle="1" w:styleId="afc">
    <w:basedOn w:val="Tablanormal"/>
    <w:tblPr>
      <w:tblStyleRowBandSize w:val="1"/>
      <w:tblStyleColBandSize w:val="1"/>
      <w:tblCellMar>
        <w:left w:w="70" w:type="dxa"/>
        <w:right w:w="70" w:type="dxa"/>
      </w:tblCellMar>
    </w:tblPr>
  </w:style>
  <w:style w:type="table" w:customStyle="1" w:styleId="afd">
    <w:basedOn w:val="Tablanormal"/>
    <w:tblPr>
      <w:tblStyleRowBandSize w:val="1"/>
      <w:tblStyleColBandSize w:val="1"/>
      <w:tblCellMar>
        <w:top w:w="15" w:type="dxa"/>
        <w:left w:w="15" w:type="dxa"/>
        <w:bottom w:w="15" w:type="dxa"/>
        <w:right w:w="15" w:type="dxa"/>
      </w:tblCellMar>
    </w:tblPr>
  </w:style>
  <w:style w:type="table" w:customStyle="1" w:styleId="afe">
    <w:basedOn w:val="Tablanormal"/>
    <w:tblPr>
      <w:tblStyleRowBandSize w:val="1"/>
      <w:tblStyleColBandSize w:val="1"/>
      <w:tblCellMar>
        <w:top w:w="15" w:type="dxa"/>
        <w:left w:w="15" w:type="dxa"/>
        <w:bottom w:w="15" w:type="dxa"/>
        <w:right w:w="15" w:type="dxa"/>
      </w:tblCellMar>
    </w:tblPr>
  </w:style>
  <w:style w:type="table" w:customStyle="1" w:styleId="aff">
    <w:basedOn w:val="Tablanormal"/>
    <w:tblPr>
      <w:tblStyleRowBandSize w:val="1"/>
      <w:tblStyleColBandSize w:val="1"/>
      <w:tblCellMar>
        <w:top w:w="15" w:type="dxa"/>
        <w:left w:w="15" w:type="dxa"/>
        <w:bottom w:w="15" w:type="dxa"/>
        <w:right w:w="15" w:type="dxa"/>
      </w:tblCellMar>
    </w:tblPr>
  </w:style>
  <w:style w:type="table" w:customStyle="1" w:styleId="aff0">
    <w:basedOn w:val="Tablanormal"/>
    <w:tblPr>
      <w:tblStyleRowBandSize w:val="1"/>
      <w:tblStyleColBandSize w:val="1"/>
      <w:tblCellMar>
        <w:left w:w="70" w:type="dxa"/>
        <w:right w:w="70" w:type="dxa"/>
      </w:tblCellMar>
    </w:tblPr>
  </w:style>
  <w:style w:type="table" w:customStyle="1" w:styleId="aff1">
    <w:basedOn w:val="Tablanormal"/>
    <w:tblPr>
      <w:tblStyleRowBandSize w:val="1"/>
      <w:tblStyleColBandSize w:val="1"/>
      <w:tblCellMar>
        <w:left w:w="70" w:type="dxa"/>
        <w:right w:w="70" w:type="dxa"/>
      </w:tblCellMar>
    </w:tblPr>
  </w:style>
  <w:style w:type="table" w:customStyle="1" w:styleId="aff2">
    <w:basedOn w:val="Tablanormal"/>
    <w:tblPr>
      <w:tblStyleRowBandSize w:val="1"/>
      <w:tblStyleColBandSize w:val="1"/>
      <w:tblCellMar>
        <w:left w:w="70" w:type="dxa"/>
        <w:right w:w="70" w:type="dxa"/>
      </w:tblCellMar>
    </w:tblPr>
  </w:style>
  <w:style w:type="table" w:customStyle="1" w:styleId="aff3">
    <w:basedOn w:val="Tablanormal"/>
    <w:tblPr>
      <w:tblStyleRowBandSize w:val="1"/>
      <w:tblStyleColBandSize w:val="1"/>
      <w:tblCellMar>
        <w:left w:w="70" w:type="dxa"/>
        <w:right w:w="70" w:type="dxa"/>
      </w:tblCellMar>
    </w:tblPr>
  </w:style>
  <w:style w:type="table" w:customStyle="1" w:styleId="aff4">
    <w:basedOn w:val="Tablanormal"/>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5">
    <w:basedOn w:val="Tablanormal"/>
    <w:tblPr>
      <w:tblStyleRowBandSize w:val="1"/>
      <w:tblStyleColBandSize w:val="1"/>
      <w:tblCellMar>
        <w:left w:w="70" w:type="dxa"/>
        <w:right w:w="70" w:type="dxa"/>
      </w:tblCellMar>
    </w:tblPr>
  </w:style>
  <w:style w:type="table" w:customStyle="1" w:styleId="aff6">
    <w:basedOn w:val="Tablanormal"/>
    <w:tblPr>
      <w:tblStyleRowBandSize w:val="1"/>
      <w:tblStyleColBandSize w:val="1"/>
      <w:tblCellMar>
        <w:left w:w="70" w:type="dxa"/>
        <w:right w:w="70" w:type="dxa"/>
      </w:tblCellMar>
    </w:tblPr>
  </w:style>
  <w:style w:type="table" w:customStyle="1" w:styleId="aff7">
    <w:basedOn w:val="Tablanormal"/>
    <w:tblPr>
      <w:tblStyleRowBandSize w:val="1"/>
      <w:tblStyleColBandSize w:val="1"/>
      <w:tblCellMar>
        <w:top w:w="15" w:type="dxa"/>
        <w:left w:w="15" w:type="dxa"/>
        <w:bottom w:w="15" w:type="dxa"/>
        <w:right w:w="15" w:type="dxa"/>
      </w:tblCellMar>
    </w:tblPr>
  </w:style>
  <w:style w:type="table" w:customStyle="1" w:styleId="aff8">
    <w:basedOn w:val="Tablanormal"/>
    <w:tblPr>
      <w:tblStyleRowBandSize w:val="1"/>
      <w:tblStyleColBandSize w:val="1"/>
      <w:tblCellMar>
        <w:top w:w="15" w:type="dxa"/>
        <w:left w:w="15" w:type="dxa"/>
        <w:bottom w:w="15" w:type="dxa"/>
        <w:right w:w="15" w:type="dxa"/>
      </w:tblCellMar>
    </w:tblPr>
  </w:style>
  <w:style w:type="table" w:customStyle="1" w:styleId="aff9">
    <w:basedOn w:val="Tablanormal"/>
    <w:tblPr>
      <w:tblStyleRowBandSize w:val="1"/>
      <w:tblStyleColBandSize w:val="1"/>
      <w:tblCellMar>
        <w:top w:w="15" w:type="dxa"/>
        <w:left w:w="15" w:type="dxa"/>
        <w:bottom w:w="15" w:type="dxa"/>
        <w:right w:w="15" w:type="dxa"/>
      </w:tblCellMar>
    </w:tblPr>
  </w:style>
  <w:style w:type="table" w:customStyle="1" w:styleId="affa">
    <w:basedOn w:val="Tablanormal"/>
    <w:tblPr>
      <w:tblStyleRowBandSize w:val="1"/>
      <w:tblStyleColBandSize w:val="1"/>
      <w:tblCellMar>
        <w:left w:w="70" w:type="dxa"/>
        <w:right w:w="70" w:type="dxa"/>
      </w:tblCellMar>
    </w:tblPr>
  </w:style>
  <w:style w:type="table" w:customStyle="1" w:styleId="affb">
    <w:basedOn w:val="Tablanormal"/>
    <w:tblPr>
      <w:tblStyleRowBandSize w:val="1"/>
      <w:tblStyleColBandSize w:val="1"/>
      <w:tblCellMar>
        <w:left w:w="70" w:type="dxa"/>
        <w:right w:w="70" w:type="dxa"/>
      </w:tblCellMar>
    </w:tblPr>
  </w:style>
  <w:style w:type="table" w:customStyle="1" w:styleId="affc">
    <w:basedOn w:val="Tablanormal"/>
    <w:tblPr>
      <w:tblStyleRowBandSize w:val="1"/>
      <w:tblStyleColBandSize w:val="1"/>
      <w:tblCellMar>
        <w:top w:w="15" w:type="dxa"/>
        <w:left w:w="15" w:type="dxa"/>
        <w:bottom w:w="15" w:type="dxa"/>
        <w:right w:w="15" w:type="dxa"/>
      </w:tblCellMar>
    </w:tblPr>
  </w:style>
  <w:style w:type="table" w:customStyle="1" w:styleId="affd">
    <w:basedOn w:val="Tablanormal"/>
    <w:tblPr>
      <w:tblStyleRowBandSize w:val="1"/>
      <w:tblStyleColBandSize w:val="1"/>
      <w:tblCellMar>
        <w:top w:w="15" w:type="dxa"/>
        <w:left w:w="15" w:type="dxa"/>
        <w:bottom w:w="15" w:type="dxa"/>
        <w:right w:w="15" w:type="dxa"/>
      </w:tblCellMar>
    </w:tblPr>
  </w:style>
  <w:style w:type="table" w:customStyle="1" w:styleId="affe">
    <w:basedOn w:val="Tablanormal"/>
    <w:tblPr>
      <w:tblStyleRowBandSize w:val="1"/>
      <w:tblStyleColBandSize w:val="1"/>
      <w:tblCellMar>
        <w:top w:w="15" w:type="dxa"/>
        <w:left w:w="15" w:type="dxa"/>
        <w:bottom w:w="15" w:type="dxa"/>
        <w:right w:w="15" w:type="dxa"/>
      </w:tblCellMar>
    </w:tblPr>
  </w:style>
  <w:style w:type="table" w:customStyle="1" w:styleId="afff">
    <w:basedOn w:val="Tablanormal"/>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0">
    <w:basedOn w:val="Tablanormal"/>
    <w:tblPr>
      <w:tblStyleRowBandSize w:val="1"/>
      <w:tblStyleColBandSize w:val="1"/>
      <w:tblCellMar>
        <w:left w:w="70" w:type="dxa"/>
        <w:right w:w="70" w:type="dxa"/>
      </w:tblCellMar>
    </w:tblPr>
  </w:style>
  <w:style w:type="table" w:customStyle="1" w:styleId="afff1">
    <w:basedOn w:val="Tablanormal"/>
    <w:tblPr>
      <w:tblStyleRowBandSize w:val="1"/>
      <w:tblStyleColBandSize w:val="1"/>
      <w:tblCellMar>
        <w:left w:w="70" w:type="dxa"/>
        <w:right w:w="70" w:type="dxa"/>
      </w:tblCellMar>
    </w:tblPr>
  </w:style>
  <w:style w:type="table" w:customStyle="1" w:styleId="afff2">
    <w:basedOn w:val="Tablanormal"/>
    <w:tblPr>
      <w:tblStyleRowBandSize w:val="1"/>
      <w:tblStyleColBandSize w:val="1"/>
      <w:tblCellMar>
        <w:left w:w="70" w:type="dxa"/>
        <w:right w:w="70" w:type="dxa"/>
      </w:tblCellMar>
    </w:tblPr>
  </w:style>
  <w:style w:type="table" w:customStyle="1" w:styleId="afff3">
    <w:basedOn w:val="Tablanormal"/>
    <w:tblPr>
      <w:tblStyleRowBandSize w:val="1"/>
      <w:tblStyleColBandSize w:val="1"/>
      <w:tblCellMar>
        <w:left w:w="70" w:type="dxa"/>
        <w:right w:w="70" w:type="dxa"/>
      </w:tblCellMar>
    </w:tblPr>
  </w:style>
  <w:style w:type="table" w:customStyle="1" w:styleId="afff4">
    <w:basedOn w:val="Tablanormal"/>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5">
    <w:basedOn w:val="Tablanormal"/>
    <w:tblPr>
      <w:tblStyleRowBandSize w:val="1"/>
      <w:tblStyleColBandSize w:val="1"/>
      <w:tblCellMar>
        <w:left w:w="115" w:type="dxa"/>
        <w:right w:w="115" w:type="dxa"/>
      </w:tblCellMar>
    </w:tblPr>
  </w:style>
  <w:style w:type="table" w:customStyle="1" w:styleId="afff6">
    <w:basedOn w:val="Tablanormal"/>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E67099"/>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E67099"/>
    <w:rPr>
      <w:rFonts w:ascii="Times New Roman" w:hAnsi="Times New Roman" w:cs="Times New Roman"/>
      <w:sz w:val="18"/>
      <w:szCs w:val="18"/>
    </w:rPr>
  </w:style>
  <w:style w:type="table" w:styleId="Tabladecuadrcula5oscura">
    <w:name w:val="Grid Table 5 Dark"/>
    <w:basedOn w:val="Tablanormal"/>
    <w:uiPriority w:val="50"/>
    <w:rsid w:val="00387C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decuadrcula6concolores">
    <w:name w:val="Grid Table 6 Colorful"/>
    <w:basedOn w:val="Tablanormal"/>
    <w:uiPriority w:val="51"/>
    <w:rsid w:val="00387CD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4">
    <w:name w:val="Grid Table 4"/>
    <w:basedOn w:val="Tablanormal"/>
    <w:uiPriority w:val="49"/>
    <w:rsid w:val="00CE4C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3">
    <w:name w:val="Grid Table 3"/>
    <w:basedOn w:val="Tablanormal"/>
    <w:uiPriority w:val="48"/>
    <w:rsid w:val="00CE4C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
    <w:name w:val="Table Grid"/>
    <w:basedOn w:val="Tablanormal"/>
    <w:uiPriority w:val="39"/>
    <w:rsid w:val="00CE4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7concolores">
    <w:name w:val="Grid Table 7 Colorful"/>
    <w:basedOn w:val="Tablanormal"/>
    <w:uiPriority w:val="52"/>
    <w:rsid w:val="00CE4C8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lista4">
    <w:name w:val="List Table 4"/>
    <w:basedOn w:val="Tablanormal"/>
    <w:uiPriority w:val="49"/>
    <w:rsid w:val="00BC0DA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cabezado">
    <w:name w:val="header"/>
    <w:basedOn w:val="Normal"/>
    <w:link w:val="EncabezadoCar"/>
    <w:uiPriority w:val="99"/>
    <w:unhideWhenUsed/>
    <w:rsid w:val="000A6AD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A6ADD"/>
  </w:style>
  <w:style w:type="paragraph" w:styleId="Piedepgina">
    <w:name w:val="footer"/>
    <w:basedOn w:val="Normal"/>
    <w:link w:val="PiedepginaCar"/>
    <w:uiPriority w:val="99"/>
    <w:unhideWhenUsed/>
    <w:rsid w:val="000A6AD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A6ADD"/>
  </w:style>
  <w:style w:type="paragraph" w:styleId="Prrafodelista">
    <w:name w:val="List Paragraph"/>
    <w:basedOn w:val="Normal"/>
    <w:uiPriority w:val="34"/>
    <w:qFormat/>
    <w:rsid w:val="00153068"/>
    <w:pPr>
      <w:spacing w:after="0" w:line="240" w:lineRule="auto"/>
      <w:ind w:left="720"/>
      <w:contextualSpacing/>
    </w:pPr>
    <w:rPr>
      <w:rFonts w:asciiTheme="minorHAnsi" w:eastAsiaTheme="minorEastAsia" w:hAnsiTheme="minorHAnsi" w:cstheme="minorBidi"/>
      <w:sz w:val="24"/>
      <w:szCs w:val="24"/>
      <w:lang w:val="es-ES_tradnl" w:eastAsia="es-ES"/>
    </w:rPr>
  </w:style>
  <w:style w:type="table" w:customStyle="1" w:styleId="afff7">
    <w:basedOn w:val="NormalTable1"/>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8">
    <w:basedOn w:val="NormalTable1"/>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9">
    <w:basedOn w:val="NormalTable1"/>
    <w:tblPr>
      <w:tblStyleRowBandSize w:val="1"/>
      <w:tblStyleColBandSize w:val="1"/>
      <w:tblCellMar>
        <w:top w:w="100" w:type="dxa"/>
        <w:left w:w="100" w:type="dxa"/>
        <w:bottom w:w="100" w:type="dxa"/>
        <w:right w:w="100" w:type="dxa"/>
      </w:tblCellMar>
    </w:tblPr>
  </w:style>
  <w:style w:type="table" w:customStyle="1" w:styleId="afffa">
    <w:basedOn w:val="NormalTable1"/>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b">
    <w:basedOn w:val="NormalTable1"/>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c">
    <w:basedOn w:val="NormalTable1"/>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d">
    <w:basedOn w:val="NormalTable1"/>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e">
    <w:basedOn w:val="NormalTable1"/>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f">
    <w:basedOn w:val="NormalTable1"/>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f0">
    <w:basedOn w:val="NormalTable1"/>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f1">
    <w:basedOn w:val="NormalTable1"/>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f2">
    <w:basedOn w:val="NormalTable1"/>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f3">
    <w:basedOn w:val="NormalTable1"/>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f4">
    <w:basedOn w:val="NormalTable1"/>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f5">
    <w:basedOn w:val="NormalTable1"/>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f6">
    <w:basedOn w:val="NormalTable1"/>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f7">
    <w:basedOn w:val="NormalTable1"/>
    <w:tblPr>
      <w:tblStyleRowBandSize w:val="1"/>
      <w:tblStyleColBandSize w:val="1"/>
      <w:tblCellMar>
        <w:top w:w="100" w:type="dxa"/>
        <w:left w:w="100" w:type="dxa"/>
        <w:bottom w:w="100" w:type="dxa"/>
        <w:right w:w="100" w:type="dxa"/>
      </w:tblCellMar>
    </w:tblPr>
  </w:style>
  <w:style w:type="table" w:customStyle="1" w:styleId="affff8">
    <w:basedOn w:val="NormalTable1"/>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f9">
    <w:basedOn w:val="NormalTable1"/>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fa">
    <w:basedOn w:val="NormalTable1"/>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fb">
    <w:basedOn w:val="NormalTable1"/>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fc">
    <w:basedOn w:val="NormalTable1"/>
    <w:tblPr>
      <w:tblStyleRowBandSize w:val="1"/>
      <w:tblStyleColBandSize w:val="1"/>
      <w:tblCellMar>
        <w:top w:w="100" w:type="dxa"/>
        <w:left w:w="100" w:type="dxa"/>
        <w:bottom w:w="100" w:type="dxa"/>
        <w:right w:w="100" w:type="dxa"/>
      </w:tblCellMar>
    </w:tblPr>
  </w:style>
  <w:style w:type="table" w:customStyle="1" w:styleId="affffd">
    <w:basedOn w:val="NormalTable1"/>
    <w:pPr>
      <w:spacing w:after="0" w:line="240" w:lineRule="auto"/>
    </w:pPr>
    <w:tblPr>
      <w:tblStyleRowBandSize w:val="1"/>
      <w:tblStyleColBandSize w:val="1"/>
      <w:tblCellMar>
        <w:left w:w="108" w:type="dxa"/>
        <w:right w:w="108" w:type="dxa"/>
      </w:tblCellMar>
    </w:tblPr>
  </w:style>
  <w:style w:type="table" w:customStyle="1" w:styleId="affffe">
    <w:basedOn w:val="NormalTable1"/>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ff">
    <w:basedOn w:val="NormalTable1"/>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ff0">
    <w:basedOn w:val="NormalTable1"/>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ff1">
    <w:basedOn w:val="NormalTable1"/>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ff2">
    <w:basedOn w:val="NormalTable1"/>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ff3">
    <w:basedOn w:val="NormalTable1"/>
    <w:tblPr>
      <w:tblStyleRowBandSize w:val="1"/>
      <w:tblStyleColBandSize w:val="1"/>
      <w:tblCellMar>
        <w:top w:w="100" w:type="dxa"/>
        <w:left w:w="100" w:type="dxa"/>
        <w:bottom w:w="100" w:type="dxa"/>
        <w:right w:w="100" w:type="dxa"/>
      </w:tblCellMar>
    </w:tblPr>
  </w:style>
  <w:style w:type="table" w:customStyle="1" w:styleId="afffff4">
    <w:basedOn w:val="NormalTable1"/>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ff5">
    <w:basedOn w:val="NormalTable1"/>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ff6">
    <w:basedOn w:val="NormalTable1"/>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ff7">
    <w:basedOn w:val="NormalTable1"/>
    <w:tblPr>
      <w:tblStyleRowBandSize w:val="1"/>
      <w:tblStyleColBandSize w:val="1"/>
      <w:tblCellMar>
        <w:top w:w="100" w:type="dxa"/>
        <w:left w:w="100" w:type="dxa"/>
        <w:bottom w:w="100" w:type="dxa"/>
        <w:right w:w="100" w:type="dxa"/>
      </w:tblCellMar>
    </w:tblPr>
  </w:style>
  <w:style w:type="table" w:customStyle="1" w:styleId="afffff8">
    <w:basedOn w:val="NormalTable1"/>
    <w:tblPr>
      <w:tblStyleRowBandSize w:val="1"/>
      <w:tblStyleColBandSize w:val="1"/>
      <w:tblCellMar>
        <w:top w:w="100" w:type="dxa"/>
        <w:left w:w="100" w:type="dxa"/>
        <w:bottom w:w="100" w:type="dxa"/>
        <w:right w:w="100" w:type="dxa"/>
      </w:tblCellMar>
    </w:tblPr>
  </w:style>
  <w:style w:type="table" w:customStyle="1" w:styleId="afffff9">
    <w:basedOn w:val="NormalTable1"/>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ffa">
    <w:basedOn w:val="NormalTable1"/>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paragraph" w:styleId="NormalWeb">
    <w:name w:val="Normal (Web)"/>
    <w:basedOn w:val="Normal"/>
    <w:uiPriority w:val="99"/>
    <w:unhideWhenUsed/>
    <w:rsid w:val="00B355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n">
    <w:name w:val="Revision"/>
    <w:hidden/>
    <w:uiPriority w:val="99"/>
    <w:semiHidden/>
    <w:rsid w:val="005D3E67"/>
    <w:pPr>
      <w:spacing w:after="0" w:line="240" w:lineRule="auto"/>
    </w:pPr>
  </w:style>
  <w:style w:type="character" w:styleId="Refdenotaalpie">
    <w:name w:val="footnote reference"/>
    <w:basedOn w:val="Fuentedeprrafopredeter"/>
    <w:uiPriority w:val="99"/>
    <w:semiHidden/>
    <w:unhideWhenUsed/>
    <w:rPr>
      <w:vertAlign w:val="superscript"/>
    </w:rPr>
  </w:style>
  <w:style w:type="character" w:styleId="Hipervnculo">
    <w:name w:val="Hyperlink"/>
    <w:basedOn w:val="Fuentedeprrafopredeter"/>
    <w:uiPriority w:val="99"/>
    <w:unhideWhenUsed/>
    <w:rPr>
      <w:color w:val="0000FF" w:themeColor="hyperlink"/>
      <w:u w:val="single"/>
    </w:r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UnresolvedMention">
    <w:name w:val="Unresolved Mention"/>
    <w:basedOn w:val="Fuentedeprrafopredeter"/>
    <w:uiPriority w:val="99"/>
    <w:semiHidden/>
    <w:unhideWhenUsed/>
    <w:rsid w:val="0036280C"/>
    <w:rPr>
      <w:color w:val="605E5C"/>
      <w:shd w:val="clear" w:color="auto" w:fill="E1DFDD"/>
    </w:rPr>
  </w:style>
  <w:style w:type="character" w:customStyle="1" w:styleId="Ttulo1Car">
    <w:name w:val="Título 1 Car"/>
    <w:basedOn w:val="Fuentedeprrafopredeter"/>
    <w:link w:val="Ttulo1"/>
    <w:uiPriority w:val="9"/>
    <w:rsid w:val="002931C7"/>
    <w:rPr>
      <w:color w:val="2E75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2317">
      <w:bodyDiv w:val="1"/>
      <w:marLeft w:val="0"/>
      <w:marRight w:val="0"/>
      <w:marTop w:val="0"/>
      <w:marBottom w:val="0"/>
      <w:divBdr>
        <w:top w:val="none" w:sz="0" w:space="0" w:color="auto"/>
        <w:left w:val="none" w:sz="0" w:space="0" w:color="auto"/>
        <w:bottom w:val="none" w:sz="0" w:space="0" w:color="auto"/>
        <w:right w:val="none" w:sz="0" w:space="0" w:color="auto"/>
      </w:divBdr>
    </w:div>
    <w:div w:id="295262453">
      <w:bodyDiv w:val="1"/>
      <w:marLeft w:val="0"/>
      <w:marRight w:val="0"/>
      <w:marTop w:val="0"/>
      <w:marBottom w:val="0"/>
      <w:divBdr>
        <w:top w:val="none" w:sz="0" w:space="0" w:color="auto"/>
        <w:left w:val="none" w:sz="0" w:space="0" w:color="auto"/>
        <w:bottom w:val="none" w:sz="0" w:space="0" w:color="auto"/>
        <w:right w:val="none" w:sz="0" w:space="0" w:color="auto"/>
      </w:divBdr>
    </w:div>
    <w:div w:id="452558604">
      <w:bodyDiv w:val="1"/>
      <w:marLeft w:val="0"/>
      <w:marRight w:val="0"/>
      <w:marTop w:val="0"/>
      <w:marBottom w:val="0"/>
      <w:divBdr>
        <w:top w:val="none" w:sz="0" w:space="0" w:color="auto"/>
        <w:left w:val="none" w:sz="0" w:space="0" w:color="auto"/>
        <w:bottom w:val="none" w:sz="0" w:space="0" w:color="auto"/>
        <w:right w:val="none" w:sz="0" w:space="0" w:color="auto"/>
      </w:divBdr>
    </w:div>
    <w:div w:id="683476252">
      <w:bodyDiv w:val="1"/>
      <w:marLeft w:val="0"/>
      <w:marRight w:val="0"/>
      <w:marTop w:val="0"/>
      <w:marBottom w:val="0"/>
      <w:divBdr>
        <w:top w:val="none" w:sz="0" w:space="0" w:color="auto"/>
        <w:left w:val="none" w:sz="0" w:space="0" w:color="auto"/>
        <w:bottom w:val="none" w:sz="0" w:space="0" w:color="auto"/>
        <w:right w:val="none" w:sz="0" w:space="0" w:color="auto"/>
      </w:divBdr>
    </w:div>
    <w:div w:id="979960549">
      <w:bodyDiv w:val="1"/>
      <w:marLeft w:val="0"/>
      <w:marRight w:val="0"/>
      <w:marTop w:val="0"/>
      <w:marBottom w:val="0"/>
      <w:divBdr>
        <w:top w:val="none" w:sz="0" w:space="0" w:color="auto"/>
        <w:left w:val="none" w:sz="0" w:space="0" w:color="auto"/>
        <w:bottom w:val="none" w:sz="0" w:space="0" w:color="auto"/>
        <w:right w:val="none" w:sz="0" w:space="0" w:color="auto"/>
      </w:divBdr>
    </w:div>
    <w:div w:id="1315405398">
      <w:bodyDiv w:val="1"/>
      <w:marLeft w:val="0"/>
      <w:marRight w:val="0"/>
      <w:marTop w:val="0"/>
      <w:marBottom w:val="0"/>
      <w:divBdr>
        <w:top w:val="none" w:sz="0" w:space="0" w:color="auto"/>
        <w:left w:val="none" w:sz="0" w:space="0" w:color="auto"/>
        <w:bottom w:val="none" w:sz="0" w:space="0" w:color="auto"/>
        <w:right w:val="none" w:sz="0" w:space="0" w:color="auto"/>
      </w:divBdr>
    </w:div>
    <w:div w:id="1413427305">
      <w:bodyDiv w:val="1"/>
      <w:marLeft w:val="0"/>
      <w:marRight w:val="0"/>
      <w:marTop w:val="0"/>
      <w:marBottom w:val="0"/>
      <w:divBdr>
        <w:top w:val="none" w:sz="0" w:space="0" w:color="auto"/>
        <w:left w:val="none" w:sz="0" w:space="0" w:color="auto"/>
        <w:bottom w:val="none" w:sz="0" w:space="0" w:color="auto"/>
        <w:right w:val="none" w:sz="0" w:space="0" w:color="auto"/>
      </w:divBdr>
    </w:div>
    <w:div w:id="1520124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f0eb57af0d444f3b"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mininterior.gov.co/wp-content/uploads/2023/11/12.-ejecucion-presupuestal-cierre-31-de-diciembre-de-2023.xlsx" TargetMode="External"/><Relationship Id="rId3" Type="http://schemas.openxmlformats.org/officeDocument/2006/relationships/hyperlink" Target="https://www.mininterior.gov.co/wp-content/uploads/2022/07/INFORME-CONGRESO-DE-LA-REPUBLICA-2021-2022.pdf" TargetMode="External"/><Relationship Id="rId7" Type="http://schemas.openxmlformats.org/officeDocument/2006/relationships/hyperlink" Target="https://www.mininterior.gov.co/wp-content/uploads/2023/11/12.-ejecucion-presupuestal-cierre-31-de-diciembre-de-2023.xlsx" TargetMode="External"/><Relationship Id="rId12" Type="http://schemas.openxmlformats.org/officeDocument/2006/relationships/hyperlink" Target="https://www.mininterior.gov.co/wp-content/uploads/2023/11/12.-ejecucion-presupuestal-cierre-31-de-diciembre-de-2023.xlsx" TargetMode="External"/><Relationship Id="rId2" Type="http://schemas.openxmlformats.org/officeDocument/2006/relationships/hyperlink" Target="https://www.mininterior.gov.co/wp-content/uploads/2023/11/12.-ejecucion-presupuestal-cierre-31-de-diciembre-de-2023.xlsx" TargetMode="External"/><Relationship Id="rId1" Type="http://schemas.openxmlformats.org/officeDocument/2006/relationships/hyperlink" Target="https://www.mininterior.gov.co/wp-content/uploads/2023/11/12.-ejecucion-presupuestal-cierre-31-de-diciembre-de-2023.xlsx" TargetMode="External"/><Relationship Id="rId6" Type="http://schemas.openxmlformats.org/officeDocument/2006/relationships/hyperlink" Target="https://www.mininterior.gov.co/wp-content/uploads/2022/07/INFORME-CONGRESO-DE-LA-REPUBLICA-2021-2022.pdf" TargetMode="External"/><Relationship Id="rId11" Type="http://schemas.openxmlformats.org/officeDocument/2006/relationships/hyperlink" Target="https://www.mininterior.gov.co/wp-content/uploads/2023/11/12.-ejecucion-presupuestal-cierre-31-de-diciembre-de-2023.xlsx" TargetMode="External"/><Relationship Id="rId5" Type="http://schemas.openxmlformats.org/officeDocument/2006/relationships/hyperlink" Target="https://www.mininterior.gov.co/wp-content/uploads/2022/07/INFORME-CONGRESO-DE-LA-REPUBLICA-2021-2022.pdf" TargetMode="External"/><Relationship Id="rId10" Type="http://schemas.openxmlformats.org/officeDocument/2006/relationships/hyperlink" Target="https://www.mininterior.gov.co/normatividad/" TargetMode="External"/><Relationship Id="rId4" Type="http://schemas.openxmlformats.org/officeDocument/2006/relationships/hyperlink" Target="https://www.mininterior.gov.co/wp-content/uploads/2022/07/%20INFORME-CONGRESO-DE-LA-REPUBLICA-2021-2022.pdf" TargetMode="External"/><Relationship Id="rId9" Type="http://schemas.openxmlformats.org/officeDocument/2006/relationships/hyperlink" Target="https://www.mininterior.gov.co/wp-content/uploads/2023/11/12.-ejecucion-presupuestal-cierre-31-de-diciembre-de-2023.xls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uNnxLvE1zUehq0qnVr/ya2efsg==">CgMxLjAyCGguZ2pkZ3hzMg5oLnVmaDg0b2p1eGh4aTIOaC53b3dodmlhbDNyc2M4AGoxChRzdWdnZXN0LnUzbTZhMDNmNW4yahIZVXRsIEp1bGlvIFRyaWFuYSBRdWludGVyb3IhMVVyQ3Bnc1Y4ZXhUZExFeVMwVDIzNmZmejNJaDN5bjdR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2213778-5BA2-412F-AE91-6AFA70721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4591</Words>
  <Characters>25252</Characters>
  <Application>Microsoft Office Word</Application>
  <DocSecurity>0</DocSecurity>
  <Lines>210</Lines>
  <Paragraphs>59</Paragraphs>
  <ScaleCrop>false</ScaleCrop>
  <Company/>
  <LinksUpToDate>false</LinksUpToDate>
  <CharactersWithSpaces>29784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comision1</dc:creator>
  <cp:keywords/>
  <cp:lastModifiedBy>Daniela Vargas Diaz UTL</cp:lastModifiedBy>
  <cp:revision>4</cp:revision>
  <dcterms:created xsi:type="dcterms:W3CDTF">2024-07-31T20:12:00Z</dcterms:created>
  <dcterms:modified xsi:type="dcterms:W3CDTF">2024-07-31T20:45:00Z</dcterms:modified>
</cp:coreProperties>
</file>